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outlineLvl w:val="0"/>
        <w:rPr>
          <w:rStyle w:val="7"/>
          <w:rFonts w:hint="default" w:ascii="Times New Roman" w:hAnsi="Times New Roman" w:eastAsia="黑体" w:cs="Times New Roman"/>
          <w:b w:val="0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Style w:val="7"/>
          <w:rFonts w:hint="default" w:ascii="Times New Roman" w:hAnsi="Times New Roman" w:eastAsia="黑体" w:cs="Times New Roman"/>
          <w:b w:val="0"/>
          <w:color w:val="auto"/>
          <w:sz w:val="32"/>
          <w:szCs w:val="32"/>
          <w:highlight w:val="none"/>
          <w:lang w:val="en-US" w:eastAsia="zh-CN"/>
        </w:rPr>
        <w:t>附件1</w:t>
      </w:r>
    </w:p>
    <w:p>
      <w:pPr>
        <w:pStyle w:val="3"/>
        <w:rPr>
          <w:rFonts w:hint="default" w:ascii="Times New Roman" w:hAnsi="Times New Roman" w:eastAsia="宋体"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2"/>
          <w:sz w:val="36"/>
          <w:szCs w:val="36"/>
          <w:highlight w:val="none"/>
          <w:lang w:eastAsia="zh-CN" w:bidi="ar-SA"/>
        </w:rPr>
        <w:t>2023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2"/>
          <w:sz w:val="36"/>
          <w:szCs w:val="36"/>
          <w:highlight w:val="none"/>
          <w:lang w:val="en-US" w:eastAsia="zh-Hans" w:bidi="ar-SA"/>
        </w:rPr>
        <w:t>年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2"/>
          <w:sz w:val="36"/>
          <w:szCs w:val="36"/>
          <w:highlight w:val="none"/>
          <w:lang w:val="en-US" w:eastAsia="zh-CN" w:bidi="ar-SA"/>
        </w:rPr>
        <w:t>新一代信息技术典型产品、应用和服务案例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2"/>
          <w:szCs w:val="22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2"/>
          <w:sz w:val="36"/>
          <w:szCs w:val="36"/>
          <w:highlight w:val="none"/>
          <w:lang w:val="en-US" w:eastAsia="zh-CN" w:bidi="ar-SA"/>
        </w:rPr>
        <w:t>遴选工作方案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" w:lineRule="atLeast"/>
        <w:ind w:right="0" w:rightChars="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2"/>
          <w:sz w:val="36"/>
          <w:szCs w:val="22"/>
          <w:highlight w:val="none"/>
          <w:lang w:val="en-US" w:eastAsia="zh-CN" w:bidi="ar-SA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Hans"/>
        </w:rPr>
        <w:t>为深入贯彻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习近平总书记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Hans"/>
        </w:rPr>
        <w:t>关于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促进数字经济和实体经济深度融合，打造具有国际竞争力的数字产业集群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Hans"/>
        </w:rPr>
        <w:t>的重要指示，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进一步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持续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Hans"/>
        </w:rPr>
        <w:t>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好两化深度融合这篇大文章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推动新一代信息技术与制造业融合发展，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Hans"/>
        </w:rPr>
        <w:t>切实做好2023年新一代信息技术典型产品、应用和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服务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Hans"/>
        </w:rPr>
        <w:t>案例遴选的组织实施工作，特制定本方案。</w:t>
      </w:r>
    </w:p>
    <w:p>
      <w:pPr>
        <w:ind w:firstLine="640" w:firstLineChars="200"/>
        <w:outlineLvl w:val="0"/>
        <w:rPr>
          <w:rFonts w:hint="default" w:ascii="Times New Roman" w:hAnsi="Times New Roman" w:eastAsia="黑体" w:cs="Times New Roman"/>
          <w:b w:val="0"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一、总体目标</w:t>
      </w:r>
    </w:p>
    <w:p>
      <w:pPr>
        <w:pStyle w:val="3"/>
        <w:spacing w:after="0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数字经济和实体经济融合发展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为主线，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按照需求导向、创新驱动的原则，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整合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工业互联网平台、工业软件、云计算、区块链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等已有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案例征集活动，围绕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Hans"/>
        </w:rPr>
        <w:t>典型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产品、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Hans"/>
        </w:rPr>
        <w:t>典型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应用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Hans"/>
        </w:rPr>
        <w:t>案例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Hans"/>
        </w:rPr>
        <w:t>典型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服务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Hans"/>
        </w:rPr>
        <w:t>模式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等内容，强化“供给侧+应用侧”双轮驱动，开展新一代信息技术典型产品、应用和服务案例征集活动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促进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制造业高端化、智能化、绿色化发展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为加快推动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新型工业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化提供助力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ind w:firstLine="640" w:firstLineChars="200"/>
        <w:outlineLvl w:val="0"/>
        <w:rPr>
          <w:rFonts w:hint="default" w:ascii="Times New Roman" w:hAnsi="Times New Roman" w:eastAsia="黑体" w:cs="Times New Roman"/>
          <w:b w:val="0"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二、案例征集内容</w:t>
      </w:r>
    </w:p>
    <w:p>
      <w:pPr>
        <w:spacing w:line="560" w:lineRule="exact"/>
        <w:ind w:firstLine="616" w:firstLineChars="200"/>
        <w:outlineLvl w:val="1"/>
        <w:rPr>
          <w:rFonts w:hint="default" w:ascii="Times New Roman" w:hAnsi="Times New Roman" w:eastAsia="楷体_GB2312" w:cs="Times New Roman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-6"/>
          <w:sz w:val="32"/>
          <w:szCs w:val="32"/>
          <w:highlight w:val="none"/>
          <w:lang w:val="en-US" w:eastAsia="zh-Hans"/>
        </w:rPr>
        <w:t>一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</w:rPr>
        <w:t>）典型产品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-6"/>
          <w:sz w:val="32"/>
          <w:szCs w:val="32"/>
          <w:highlight w:val="none"/>
          <w:lang w:val="en-US" w:eastAsia="zh-Hans"/>
        </w:rPr>
        <w:t>名录</w:t>
      </w:r>
    </w:p>
    <w:p>
      <w:pPr>
        <w:spacing w:line="360" w:lineRule="auto"/>
        <w:ind w:firstLine="643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征集工业软件优秀产品，打造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一批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</w:rPr>
        <w:t>拥有自主知识产权、技术先进、实现产业化或已在行业中部署应用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的软件产品，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加快提升工业软件自主创新能力，做大做强软件产业，支撑工业软件产业高质量发展。</w:t>
      </w:r>
    </w:p>
    <w:p>
      <w:pPr>
        <w:spacing w:line="560" w:lineRule="exact"/>
        <w:ind w:firstLine="616" w:firstLineChars="200"/>
        <w:outlineLvl w:val="1"/>
        <w:rPr>
          <w:rFonts w:hint="default" w:ascii="Times New Roman" w:hAnsi="Times New Roman" w:eastAsia="楷体_GB2312" w:cs="Times New Roman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-6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-6"/>
          <w:sz w:val="32"/>
          <w:szCs w:val="32"/>
          <w:highlight w:val="none"/>
          <w:lang w:val="en-US" w:eastAsia="zh-Hans"/>
        </w:rPr>
        <w:t>二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-6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-6"/>
          <w:sz w:val="32"/>
          <w:szCs w:val="32"/>
          <w:highlight w:val="none"/>
          <w:lang w:val="en-US" w:eastAsia="zh-Hans"/>
        </w:rPr>
        <w:t>典型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</w:rPr>
        <w:t>应用案例</w:t>
      </w:r>
    </w:p>
    <w:p>
      <w:pPr>
        <w:spacing w:line="360" w:lineRule="auto"/>
        <w:ind w:firstLine="643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一是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征集工业互联网平台创新领航应用案例，聚焦工业企业数字化转型面临的关键问题，围绕平台化设计、数字化管理、智能化制造、网络化协同、个性化定制、服务化延伸等六大应用模式，遴选一批典型案例，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推动企业生产方式、组织模式和商业范式深刻变革，为制造业数字化转型注入新动能新活力。</w:t>
      </w:r>
    </w:p>
    <w:p>
      <w:pPr>
        <w:spacing w:line="360" w:lineRule="auto"/>
        <w:ind w:firstLine="643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Hans"/>
        </w:rPr>
        <w:t>二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征集区块链典型应用案例，围绕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区块链创新技术及产品、实体经济、民生服务、智慧城市、政务服务五个方向，征集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一批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已应用落地的，具有示范性、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可推广的典型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应用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案例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加快推进区块链技术产业创新发展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spacing w:line="360" w:lineRule="auto"/>
        <w:ind w:firstLine="643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Hans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Hans"/>
        </w:rPr>
        <w:t>三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征集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Hans"/>
        </w:rPr>
        <w:t>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上云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用云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典型应用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Hans"/>
        </w:rPr>
        <w:t>案例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，面向重点行业领域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中小企业和创业型企业租用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IaaS、PaaS和SaaS服务，大型企业自建私有云或采用混合云，以及云厂商云计算创新技术、产品、工具和服务，征集一批已应用落地的典型案例，总结商业模式运营创新做法，探索企业深度上云用云路径，推动云计算产业高质量发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Hans"/>
        </w:rPr>
        <w:t>。</w:t>
      </w:r>
    </w:p>
    <w:p>
      <w:pPr>
        <w:spacing w:line="560" w:lineRule="exact"/>
        <w:ind w:firstLine="616" w:firstLineChars="200"/>
        <w:outlineLvl w:val="1"/>
        <w:rPr>
          <w:rFonts w:hint="default" w:ascii="Times New Roman" w:hAnsi="Times New Roman" w:eastAsia="楷体_GB2312" w:cs="Times New Roman"/>
          <w:b w:val="0"/>
          <w:bCs w:val="0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</w:rPr>
        <w:t>（三）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-6"/>
          <w:sz w:val="32"/>
          <w:szCs w:val="32"/>
          <w:highlight w:val="none"/>
          <w:lang w:val="en-US" w:eastAsia="zh-Hans"/>
        </w:rPr>
        <w:t>典型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</w:rPr>
        <w:t>服务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-6"/>
          <w:sz w:val="32"/>
          <w:szCs w:val="32"/>
          <w:highlight w:val="none"/>
          <w:lang w:val="en-US" w:eastAsia="zh-Hans"/>
        </w:rPr>
        <w:t>模式</w:t>
      </w:r>
    </w:p>
    <w:p>
      <w:pPr>
        <w:ind w:firstLine="643" w:firstLineChars="200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征集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Hans"/>
        </w:rPr>
        <w:t>校企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人才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Hans"/>
        </w:rPr>
        <w:t>实训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服务案例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Hans"/>
        </w:rPr>
        <w:t>探索政产校企联动的人才培养新模式，激发地方、学校和企业的试点积极性，促进可复制、可推广的协同育人模式成熟落地，加快建设信息技术领域世界重要人才中心和创新高地。</w:t>
      </w:r>
    </w:p>
    <w:p>
      <w:pPr>
        <w:ind w:firstLine="643" w:firstLineChars="200"/>
        <w:outlineLvl w:val="9"/>
        <w:rPr>
          <w:rFonts w:hint="default" w:ascii="Times New Roman" w:hAnsi="Times New Roman" w:eastAsia="宋体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Hans"/>
        </w:rPr>
        <w:t>二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征集一批标准化专业机构与地方组织联合共建的“标准化+”工作站，依托工作站开展标准验证、贯标评估、培训教学、标准服务及国际标准化推广等活动，面向区域开展工业互联网平台、数字化转型、软件、区块链、云计算、大数据、软件能力成熟度等领域标准宣贯评估服务，满足地方企业和政府标准化需求，打通标准化应用落地的“最后一公里”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i w:val="0"/>
          <w:color w:val="auto"/>
          <w:sz w:val="32"/>
          <w:szCs w:val="32"/>
          <w:highlight w:val="none"/>
          <w:lang w:val="en-US" w:eastAsia="zh-Hans"/>
        </w:rPr>
        <w:t>三</w:t>
      </w:r>
      <w:r>
        <w:rPr>
          <w:rFonts w:hint="default" w:ascii="Times New Roman" w:hAnsi="Times New Roman" w:eastAsia="黑体" w:cs="Times New Roman"/>
          <w:i w:val="0"/>
          <w:color w:val="auto"/>
          <w:sz w:val="32"/>
          <w:szCs w:val="32"/>
          <w:highlight w:val="none"/>
        </w:rPr>
        <w:t>、申报条件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i w:val="0"/>
          <w:color w:val="auto"/>
          <w:sz w:val="32"/>
          <w:szCs w:val="32"/>
          <w:highlight w:val="none"/>
          <w:lang w:eastAsia="zh-Hans"/>
        </w:rPr>
        <w:t>（</w:t>
      </w:r>
      <w:r>
        <w:rPr>
          <w:rFonts w:hint="default" w:ascii="Times New Roman" w:hAnsi="Times New Roman" w:eastAsia="楷体_GB2312" w:cs="Times New Roman"/>
          <w:i w:val="0"/>
          <w:color w:val="auto"/>
          <w:sz w:val="32"/>
          <w:szCs w:val="32"/>
          <w:highlight w:val="none"/>
          <w:lang w:val="en-US" w:eastAsia="zh-Hans"/>
        </w:rPr>
        <w:t>一</w:t>
      </w:r>
      <w:r>
        <w:rPr>
          <w:rFonts w:hint="default" w:ascii="Times New Roman" w:hAnsi="Times New Roman" w:eastAsia="楷体_GB2312" w:cs="Times New Roman"/>
          <w:i w:val="0"/>
          <w:color w:val="auto"/>
          <w:sz w:val="32"/>
          <w:szCs w:val="32"/>
          <w:highlight w:val="none"/>
          <w:lang w:eastAsia="zh-Hans"/>
        </w:rPr>
        <w:t>）</w:t>
      </w:r>
      <w:r>
        <w:rPr>
          <w:rFonts w:hint="default" w:ascii="Times New Roman" w:hAnsi="Times New Roman" w:eastAsia="楷体_GB2312" w:cs="Times New Roman"/>
          <w:i w:val="0"/>
          <w:color w:val="auto"/>
          <w:sz w:val="32"/>
          <w:szCs w:val="32"/>
          <w:highlight w:val="none"/>
        </w:rPr>
        <w:t>申报主体</w:t>
      </w:r>
      <w:r>
        <w:rPr>
          <w:rFonts w:hint="default" w:ascii="Times New Roman" w:hAnsi="Times New Roman" w:eastAsia="仿宋_GB2312" w:cs="Times New Roman"/>
          <w:i w:val="0"/>
          <w:color w:val="auto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Hans"/>
        </w:rPr>
        <w:t>典型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案例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Hans"/>
        </w:rPr>
        <w:t>申报主体包括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制造企业、信息技术企业、互联网企业、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科研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Hans"/>
        </w:rPr>
        <w:t>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所、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Hans"/>
        </w:rPr>
        <w:t>高等院校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或其联合体等，应在中华人民共和国境内注册，具备独立法人资格，具有较好的经济实力、技术研发和融合发展能力。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i w:val="0"/>
          <w:color w:val="auto"/>
          <w:sz w:val="32"/>
          <w:szCs w:val="32"/>
          <w:highlight w:val="yellow"/>
          <w:lang w:eastAsia="zh-Hans"/>
        </w:rPr>
      </w:pPr>
      <w:r>
        <w:rPr>
          <w:rFonts w:hint="default" w:ascii="Times New Roman" w:hAnsi="Times New Roman" w:eastAsia="楷体_GB2312" w:cs="Times New Roman"/>
          <w:b w:val="0"/>
          <w:bCs w:val="0"/>
          <w:i w:val="0"/>
          <w:color w:val="auto"/>
          <w:sz w:val="32"/>
          <w:szCs w:val="32"/>
          <w:highlight w:val="none"/>
          <w:lang w:eastAsia="zh-Hans"/>
        </w:rPr>
        <w:t>（二）推荐单位。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olor w:val="auto"/>
          <w:sz w:val="32"/>
          <w:szCs w:val="32"/>
          <w:highlight w:val="none"/>
          <w:lang w:eastAsia="zh-Hans"/>
        </w:rPr>
        <w:t>推荐单位。各省、自治区、直辖市及新疆生产建设兵团主管部门推荐案例数量不超过50个，获得中国软件名城、信息消费示范城市、区块链发展先导区称号以及获批创建工业互联网示范区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olor w:val="auto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olor w:val="auto"/>
          <w:sz w:val="32"/>
          <w:szCs w:val="32"/>
          <w:highlight w:val="none"/>
          <w:lang w:eastAsia="zh-Hans"/>
        </w:rPr>
        <w:t>对应省级主管部门额外增加5个名额（增加名额可累计）。各计划单列市推荐案例数量不超过30个。各中央企业和协会组织可直接报送，推荐案例数量不超过20个。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i w:val="0"/>
          <w:color w:val="auto"/>
          <w:sz w:val="32"/>
          <w:szCs w:val="32"/>
          <w:highlight w:val="none"/>
        </w:rPr>
        <w:t>（三）申报条件。</w:t>
      </w:r>
      <w:r>
        <w:rPr>
          <w:rFonts w:hint="default" w:ascii="Times New Roman" w:hAnsi="Times New Roman" w:eastAsia="仿宋_GB2312" w:cs="Times New Roman"/>
          <w:i w:val="0"/>
          <w:color w:val="auto"/>
          <w:sz w:val="32"/>
          <w:szCs w:val="32"/>
          <w:highlight w:val="none"/>
        </w:rPr>
        <w:t>对于已列入前期同类</w:t>
      </w:r>
      <w:r>
        <w:rPr>
          <w:rFonts w:hint="default" w:ascii="Times New Roman" w:hAnsi="Times New Roman" w:eastAsia="仿宋_GB2312" w:cs="Times New Roman"/>
          <w:i w:val="0"/>
          <w:color w:val="auto"/>
          <w:sz w:val="32"/>
          <w:szCs w:val="32"/>
          <w:highlight w:val="none"/>
          <w:lang w:val="en-US" w:eastAsia="zh-Hans"/>
        </w:rPr>
        <w:t>典型案例</w:t>
      </w:r>
      <w:r>
        <w:rPr>
          <w:rFonts w:hint="default" w:ascii="Times New Roman" w:hAnsi="Times New Roman" w:eastAsia="仿宋_GB2312" w:cs="Times New Roman"/>
          <w:i w:val="0"/>
          <w:color w:val="auto"/>
          <w:sz w:val="32"/>
          <w:szCs w:val="32"/>
          <w:highlight w:val="none"/>
        </w:rPr>
        <w:t>的不可重复申报。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i w:val="0"/>
          <w:color w:val="auto"/>
          <w:sz w:val="32"/>
          <w:szCs w:val="32"/>
          <w:highlight w:val="none"/>
          <w:lang w:val="en-US" w:eastAsia="zh-Hans"/>
        </w:rPr>
        <w:t>四</w:t>
      </w:r>
      <w:r>
        <w:rPr>
          <w:rFonts w:hint="default" w:ascii="Times New Roman" w:hAnsi="Times New Roman" w:eastAsia="黑体" w:cs="Times New Roman"/>
          <w:i w:val="0"/>
          <w:color w:val="auto"/>
          <w:sz w:val="32"/>
          <w:szCs w:val="32"/>
          <w:highlight w:val="none"/>
        </w:rPr>
        <w:t>、申报程序</w:t>
      </w:r>
    </w:p>
    <w:p>
      <w:pPr>
        <w:ind w:firstLine="640" w:firstLineChars="200"/>
        <w:outlineLvl w:val="9"/>
        <w:rPr>
          <w:rFonts w:hint="default" w:ascii="Times New Roman" w:hAnsi="Times New Roman" w:eastAsia="仿宋_GB2312" w:cs="Times New Roman"/>
          <w:i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i w:val="0"/>
          <w:color w:val="auto"/>
          <w:sz w:val="32"/>
          <w:szCs w:val="32"/>
          <w:highlight w:val="none"/>
        </w:rPr>
        <w:t>（一）申报。</w:t>
      </w:r>
      <w:r>
        <w:rPr>
          <w:rFonts w:hint="default" w:ascii="Times New Roman" w:hAnsi="Times New Roman" w:eastAsia="仿宋_GB2312" w:cs="Times New Roman"/>
          <w:i w:val="0"/>
          <w:color w:val="auto"/>
          <w:sz w:val="32"/>
          <w:szCs w:val="32"/>
          <w:highlight w:val="none"/>
        </w:rPr>
        <w:t>企业准备申报材料，填写电子版和纸质版申报书</w:t>
      </w:r>
      <w:r>
        <w:rPr>
          <w:rFonts w:hint="default" w:ascii="Times New Roman" w:hAnsi="Times New Roman" w:eastAsia="仿宋_GB2312" w:cs="Times New Roman"/>
          <w:i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color w:val="auto"/>
          <w:sz w:val="32"/>
          <w:szCs w:val="32"/>
          <w:highlight w:val="none"/>
        </w:rPr>
        <w:t>经推荐单位审核、签署推荐意见后，提交至工业和信息化部信息技术发展司。</w:t>
      </w:r>
    </w:p>
    <w:p>
      <w:pPr>
        <w:ind w:firstLine="640" w:firstLineChars="200"/>
        <w:outlineLvl w:val="9"/>
        <w:rPr>
          <w:rFonts w:hint="default" w:ascii="Times New Roman" w:hAnsi="Times New Roman" w:eastAsia="仿宋_GB2312" w:cs="Times New Roman"/>
          <w:i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i w:val="0"/>
          <w:color w:val="auto"/>
          <w:sz w:val="32"/>
          <w:szCs w:val="32"/>
          <w:highlight w:val="none"/>
        </w:rPr>
        <w:t>（二）评审。</w:t>
      </w:r>
      <w:r>
        <w:rPr>
          <w:rFonts w:hint="default" w:ascii="Times New Roman" w:hAnsi="Times New Roman" w:eastAsia="仿宋_GB2312" w:cs="Times New Roman"/>
          <w:i w:val="0"/>
          <w:color w:val="auto"/>
          <w:sz w:val="32"/>
          <w:szCs w:val="32"/>
          <w:highlight w:val="none"/>
        </w:rPr>
        <w:t>工业和信息化部组织专家进行评审，确定典型案例名单。</w:t>
      </w:r>
    </w:p>
    <w:p>
      <w:pPr>
        <w:ind w:firstLine="640" w:firstLineChars="200"/>
        <w:outlineLvl w:val="9"/>
        <w:rPr>
          <w:rFonts w:hint="default" w:ascii="Times New Roman" w:hAnsi="Times New Roman" w:eastAsia="仿宋_GB2312" w:cs="Times New Roman"/>
          <w:i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i w:val="0"/>
          <w:color w:val="auto"/>
          <w:sz w:val="32"/>
          <w:szCs w:val="32"/>
          <w:highlight w:val="none"/>
        </w:rPr>
        <w:t>（三）公示。</w:t>
      </w:r>
      <w:r>
        <w:rPr>
          <w:rFonts w:hint="default" w:ascii="Times New Roman" w:hAnsi="Times New Roman" w:eastAsia="仿宋_GB2312" w:cs="Times New Roman"/>
          <w:i w:val="0"/>
          <w:color w:val="auto"/>
          <w:sz w:val="32"/>
          <w:szCs w:val="32"/>
          <w:highlight w:val="none"/>
        </w:rPr>
        <w:t>对拟支持的典型案例名单在工业和信息化部门户网站进行公示，公示期为7日。</w:t>
      </w:r>
    </w:p>
    <w:p>
      <w:pPr>
        <w:ind w:firstLine="640" w:firstLineChars="200"/>
        <w:outlineLvl w:val="9"/>
        <w:rPr>
          <w:rFonts w:hint="default" w:ascii="Times New Roman" w:hAnsi="Times New Roman" w:eastAsia="仿宋_GB2312" w:cs="Times New Roman"/>
          <w:i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i w:val="0"/>
          <w:color w:val="auto"/>
          <w:sz w:val="32"/>
          <w:szCs w:val="32"/>
          <w:highlight w:val="none"/>
        </w:rPr>
        <w:t>（四）宣传。</w:t>
      </w:r>
      <w:r>
        <w:rPr>
          <w:rFonts w:hint="default" w:ascii="Times New Roman" w:hAnsi="Times New Roman" w:eastAsia="仿宋_GB2312" w:cs="Times New Roman"/>
          <w:i w:val="0"/>
          <w:color w:val="auto"/>
          <w:sz w:val="32"/>
          <w:szCs w:val="32"/>
          <w:highlight w:val="none"/>
        </w:rPr>
        <w:t>对公示无异议的，认定为2023年新一代信息技术典型产品、应用和服务案例，组织开展宣传推广活动。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lNWRkNTZhYzIwZTkzYWQxMzcxMjJhYzEyYWI1MjIifQ=="/>
  </w:docVars>
  <w:rsids>
    <w:rsidRoot w:val="5E4F6A2D"/>
    <w:rsid w:val="3797656F"/>
    <w:rsid w:val="5E4F6A2D"/>
    <w:rsid w:val="5F330AC8"/>
    <w:rsid w:val="7FF3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2023-05-23T02:49:00Z</dcterms:created>
  <dc:creator>顾建萍</dc:creator>
  <cp:lastModifiedBy>张阳阳</cp:lastModifiedBy>
  <dcterms:modified xsi:type="dcterms:W3CDTF">2023-06-01T03:24:01Z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6CC1AB7AF01943D6A080B7E1D7AAF5D2</vt:lpwstr>
  </property>
</Properties>
</file>