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80" w:lineRule="exact"/>
        <w:jc w:val="both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" w:eastAsia="zh-CN"/>
        </w:rPr>
        <w:t>附件</w:t>
      </w:r>
      <w:r>
        <w:rPr>
          <w:rFonts w:hint="eastAsia" w:ascii="Nimbus Roman No9 L" w:hAnsi="Nimbus Roman No9 L" w:eastAsia="Nimbus Roman No9 L" w:cs="Nimbus Roman No9 L"/>
          <w:bCs/>
          <w:kern w:val="44"/>
          <w:sz w:val="32"/>
          <w:szCs w:val="32"/>
          <w:lang w:val="en-US" w:eastAsia="zh-CN"/>
        </w:rPr>
        <w:t>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80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bCs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kern w:val="44"/>
          <w:sz w:val="44"/>
          <w:szCs w:val="44"/>
        </w:rPr>
        <w:t>天津市科学技术奖提名制实施方案</w:t>
      </w:r>
    </w:p>
    <w:bookmarkEnd w:id="0"/>
    <w:p>
      <w:pPr>
        <w:keepNext/>
        <w:keepLines/>
        <w:spacing w:before="120" w:after="120" w:line="680" w:lineRule="exact"/>
        <w:jc w:val="center"/>
        <w:outlineLvl w:val="0"/>
        <w:rPr>
          <w:rFonts w:hint="eastAsia" w:ascii="方正小标宋简体" w:hAnsi="黑体" w:eastAsia="方正小标宋简体"/>
          <w:bCs/>
          <w:kern w:val="44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第一章 总则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为规范天津市科学技术奖提名工作，根据《关于深化科技奖励制度改革的方案》（国办函〔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55</w:t>
      </w:r>
      <w:r>
        <w:rPr>
          <w:rFonts w:hint="eastAsia" w:ascii="仿宋_GB2312" w:eastAsia="仿宋_GB2312"/>
          <w:sz w:val="32"/>
          <w:szCs w:val="32"/>
        </w:rPr>
        <w:t>号）、《天津市深化科技奖励制度改革方案》（津政办函〔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92</w:t>
      </w:r>
      <w:r>
        <w:rPr>
          <w:rFonts w:hint="eastAsia" w:ascii="仿宋_GB2312" w:eastAsia="仿宋_GB2312"/>
          <w:sz w:val="32"/>
          <w:szCs w:val="32"/>
        </w:rPr>
        <w:t>号）要求，依据《天津市科学技术奖励办法》及其实施细则有关规定，</w:t>
      </w:r>
      <w:r>
        <w:rPr>
          <w:rFonts w:hint="eastAsia" w:ascii="仿宋_GB2312" w:eastAsia="仿宋_GB2312"/>
          <w:sz w:val="32"/>
          <w:szCs w:val="32"/>
          <w:lang w:eastAsia="zh-CN"/>
        </w:rPr>
        <w:t>结合</w:t>
      </w:r>
      <w:r>
        <w:rPr>
          <w:rFonts w:hint="eastAsia" w:ascii="仿宋_GB2312" w:eastAsia="仿宋_GB2312"/>
          <w:sz w:val="32"/>
          <w:szCs w:val="32"/>
        </w:rPr>
        <w:t>天津市科学技术奖</w:t>
      </w:r>
      <w:r>
        <w:rPr>
          <w:rFonts w:hint="eastAsia" w:ascii="仿宋_GB2312" w:eastAsia="仿宋_GB2312"/>
          <w:sz w:val="32"/>
          <w:szCs w:val="32"/>
          <w:lang w:eastAsia="zh-CN"/>
        </w:rPr>
        <w:t>工作实际，</w:t>
      </w:r>
      <w:r>
        <w:rPr>
          <w:rFonts w:hint="eastAsia" w:ascii="仿宋_GB2312" w:eastAsia="仿宋_GB2312"/>
          <w:sz w:val="32"/>
          <w:szCs w:val="32"/>
        </w:rPr>
        <w:t>制定本方案。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天津市科学技术局负责</w:t>
      </w:r>
      <w:r>
        <w:rPr>
          <w:rFonts w:hint="eastAsia" w:ascii="仿宋_GB2312" w:eastAsia="仿宋_GB2312"/>
          <w:sz w:val="32"/>
          <w:szCs w:val="32"/>
          <w:lang w:eastAsia="zh-CN"/>
        </w:rPr>
        <w:t>提名</w:t>
      </w:r>
      <w:r>
        <w:rPr>
          <w:rFonts w:hint="eastAsia" w:ascii="仿宋_GB2312" w:eastAsia="仿宋_GB2312"/>
          <w:sz w:val="32"/>
          <w:szCs w:val="32"/>
        </w:rPr>
        <w:t>组织工作。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第二章 提名资格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具有天津市科学技术奖提名资格的提名者为本市专家学者、组织机构和相关部门。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 本方案所称专家学者是指：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（一）中国科学院或中国工程院院士。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（二）天津市科技重大成就奖获奖人。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（三）国家科学技术奖的第一完成人。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（四）天津市自然科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学奖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特等奖、一等奖、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二等奖的第一完成人。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（五）天津市技术发明奖、科学技术进步奖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特等奖、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一等奖的第一完成人。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院士</w:t>
      </w:r>
      <w:r>
        <w:rPr>
          <w:rFonts w:hint="eastAsia" w:ascii="仿宋_GB2312" w:eastAsia="仿宋_GB2312"/>
          <w:sz w:val="32"/>
          <w:szCs w:val="32"/>
          <w:lang w:eastAsia="zh-CN"/>
        </w:rPr>
        <w:t>作为提名人的，</w:t>
      </w:r>
      <w:r>
        <w:rPr>
          <w:rFonts w:hint="eastAsia" w:ascii="仿宋_GB2312" w:eastAsia="仿宋_GB2312"/>
          <w:sz w:val="32"/>
          <w:szCs w:val="32"/>
        </w:rPr>
        <w:t>年龄不超过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75</w:t>
      </w:r>
      <w:r>
        <w:rPr>
          <w:rFonts w:hint="eastAsia" w:ascii="仿宋_GB2312" w:eastAsia="仿宋_GB2312"/>
          <w:sz w:val="32"/>
          <w:szCs w:val="32"/>
        </w:rPr>
        <w:t>岁</w:t>
      </w:r>
      <w:r>
        <w:rPr>
          <w:rFonts w:hint="eastAsia" w:ascii="仿宋_GB2312" w:eastAsia="仿宋_GB2312"/>
          <w:sz w:val="32"/>
          <w:szCs w:val="32"/>
          <w:lang w:eastAsia="zh-CN"/>
        </w:rPr>
        <w:t>，其他</w:t>
      </w:r>
      <w:r>
        <w:rPr>
          <w:rFonts w:hint="eastAsia" w:ascii="仿宋_GB2312" w:eastAsia="仿宋_GB2312"/>
          <w:sz w:val="32"/>
          <w:szCs w:val="32"/>
        </w:rPr>
        <w:t>提名专家不超过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70</w:t>
      </w:r>
      <w:r>
        <w:rPr>
          <w:rFonts w:hint="eastAsia" w:ascii="仿宋_GB2312" w:eastAsia="仿宋_GB2312"/>
          <w:sz w:val="32"/>
          <w:szCs w:val="32"/>
        </w:rPr>
        <w:t>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 本方案所称组织机构是指在天津市内注册、具有独立法人资格的各高等院校，市属各控股公司、集团公司，各驻津科研单位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以及经天津市科协推荐、具备提名资格的学会、行业协会等。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本方案所称相关部门是指市人民政府组成部门、直属机构，各区人民政府科技主管部门。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第三章 提名条件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提名专家每人</w:t>
      </w:r>
      <w:r>
        <w:rPr>
          <w:rFonts w:hint="eastAsia" w:ascii="仿宋_GB2312" w:eastAsia="仿宋_GB2312"/>
          <w:sz w:val="32"/>
          <w:szCs w:val="32"/>
          <w:lang w:eastAsia="zh-CN"/>
        </w:rPr>
        <w:t>每年度</w:t>
      </w:r>
      <w:r>
        <w:rPr>
          <w:rFonts w:hint="eastAsia" w:ascii="仿宋_GB2312" w:eastAsia="仿宋_GB2312"/>
          <w:sz w:val="32"/>
          <w:szCs w:val="32"/>
        </w:rPr>
        <w:t>独立或与他人联合提名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项天津市科学技术奖，联合提名时列第一位的为责任专家。专家提名各奖种条件如下：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（一）天津市科技重大成就奖：院士、天津市科技重大成就奖获奖人可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人联合提名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（二）天津市自然科学奖：院士、国家自然科学奖的第一完成人、天津市科技重大成就奖获奖人，每人可提名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个项目；天津市自然科学奖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特等奖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等奖</w:t>
      </w:r>
      <w:r>
        <w:rPr>
          <w:rFonts w:hint="eastAsia" w:ascii="仿宋_GB2312" w:eastAsia="仿宋_GB2312"/>
          <w:sz w:val="32"/>
          <w:szCs w:val="32"/>
        </w:rPr>
        <w:t>、二等奖的第一完成人，可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人联合提名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（三）天津市技术发明奖、科学技术进步奖：院士、国家技术发明奖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国家科技进步奖的第一完成人、天津市科技重大成就奖获奖人，每人可提名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个项目；天津市技术发明奖、科学技术进</w:t>
      </w:r>
      <w:r>
        <w:rPr>
          <w:rFonts w:hint="eastAsia" w:ascii="仿宋_GB2312" w:eastAsia="仿宋_GB2312"/>
          <w:sz w:val="32"/>
          <w:szCs w:val="32"/>
          <w:u w:val="none"/>
        </w:rPr>
        <w:t>步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奖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特等奖、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一</w:t>
      </w:r>
      <w:r>
        <w:rPr>
          <w:rFonts w:hint="eastAsia" w:ascii="仿宋_GB2312" w:eastAsia="仿宋_GB2312"/>
          <w:sz w:val="32"/>
          <w:szCs w:val="32"/>
          <w:u w:val="none"/>
        </w:rPr>
        <w:t>等</w:t>
      </w:r>
      <w:r>
        <w:rPr>
          <w:rFonts w:hint="eastAsia" w:ascii="仿宋_GB2312" w:eastAsia="仿宋_GB2312"/>
          <w:sz w:val="32"/>
          <w:szCs w:val="32"/>
        </w:rPr>
        <w:t>奖的第一完成人，可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人联合提名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（四）天津市国际科学技术合作奖：院士、天津市科技重大成就奖获奖人可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人联合提名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人（组织）。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提名专家应在本人熟悉学科领域范围内进行提名，责任专家应在本人从事学科专业（二级学科）内提名。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多名专家联合提名时，与提名项目任一完成人同一单位的专家不应超过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各提名单位应建立科学合理的遴选机制，在本学科、本行业、本部门范围内提名。单位提名各奖种条件如下：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（一）天津市科技重大成就奖：注重提名仍在一线工作的杰出科学技术专家。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（二）天津市自然科学奖、天津市技术发明奖、天津市科学技术进步奖：坚持优中选优，提名本学科、本行业、本地区、本部门的优秀项目。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（三）天津市国际科学技术合作奖：注重提名学术水平高、国际影响大，对我市经济、社会发展有重要推动作用且长期友好的外国人或组织。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第四章 提名者责任与管理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 提名者应承担提名、答辩、异议答复等责任，并对相关材料的真实性和准确性负责。多名专家联合提名时，责任专家牵头负责相关事项。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 提名者应按市科技局统一要求准备相应提名材料，并根据天津市科学技术奖的标准和条件，对提名等级严格把关。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 提名者提名前，应征得项目主要完成人及其工作单位和完成单位的同意，须按公示要求在项目主要完成单位和提名单位分别进行公示。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 提名者应严格遵守《中华人民共和国保密法》和《科学技术保密规定》等有关保密规定。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第五章 被提名项目（人选）基本条件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 被提名项目（人选）必须符合《天津市科学技术奖励办法实施细则》的有关要求，还必须满足以下条件：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被提名天津市自然科学奖项目提供的代表性论文论著应公开发表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一年以上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，技术发明奖和科学技术进步奖项目应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实现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整体技术应用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一年以上。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（二）同一人作为第一完成人最多可获得两项提名；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年度</w:t>
      </w:r>
      <w:r>
        <w:rPr>
          <w:rFonts w:hint="eastAsia" w:ascii="仿宋_GB2312" w:eastAsia="仿宋_GB2312"/>
          <w:sz w:val="32"/>
          <w:szCs w:val="32"/>
        </w:rPr>
        <w:t>天津市自然科学奖、技术发明奖和科学技术进步奖特等奖或一等奖项目的第一完成人，不能作为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年度天津市自然科学奖、技术发明奖和科学技术进步奖提名项目第一完成人；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根据《天津市科技计划项目相关责任主体失信行为管理暂行办法》（津科规〔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号）有关规定，被列入失信行为记录且被采取限制措施的人员或单位，不得作为提名项目</w:t>
      </w:r>
      <w:r>
        <w:rPr>
          <w:rFonts w:hint="eastAsia" w:ascii="仿宋_GB2312" w:eastAsia="仿宋_GB2312"/>
          <w:color w:val="auto"/>
          <w:sz w:val="32"/>
          <w:szCs w:val="32"/>
        </w:rPr>
        <w:t>第一完成人或第一完成单位。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第六章 提名程序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 市科技局公开发布提名工作通知。具备提名资格的专家、机构、部门，根据通知要求开展提名工作。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 被提名项目（人选）在项目完成单位、提名单位分别进行公示，</w:t>
      </w:r>
      <w:r>
        <w:rPr>
          <w:rFonts w:hint="eastAsia" w:ascii="仿宋_GB2312" w:eastAsia="仿宋_GB2312"/>
          <w:sz w:val="32"/>
          <w:szCs w:val="32"/>
          <w:lang w:eastAsia="zh-CN"/>
        </w:rPr>
        <w:t>公示内容包括但不限于项目名称、提名奖项和等级、主要完成单位、主要完成人、提名者、项目简介、发现点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/发明点/创新点，主要技术支撑材料等。</w:t>
      </w:r>
      <w:r>
        <w:rPr>
          <w:rFonts w:hint="eastAsia" w:ascii="仿宋_GB2312" w:eastAsia="仿宋_GB2312"/>
          <w:sz w:val="32"/>
          <w:szCs w:val="32"/>
        </w:rPr>
        <w:t>公示时间不少于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个自然日，公示无异议方可提名。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 提名单位登录“天津市科技奖励管理信息系统”，按要求</w:t>
      </w:r>
      <w:r>
        <w:rPr>
          <w:rFonts w:hint="eastAsia" w:ascii="仿宋_GB2312" w:eastAsia="仿宋_GB2312"/>
          <w:sz w:val="32"/>
          <w:szCs w:val="32"/>
          <w:lang w:eastAsia="zh-CN"/>
        </w:rPr>
        <w:t>提交</w:t>
      </w:r>
      <w:r>
        <w:rPr>
          <w:rFonts w:hint="eastAsia" w:ascii="仿宋_GB2312" w:eastAsia="仿宋_GB2312"/>
          <w:sz w:val="32"/>
          <w:szCs w:val="32"/>
        </w:rPr>
        <w:t>提名材料。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altName w:val="MStiffHei PR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tiffHei PRC">
    <w:panose1 w:val="00000500000000000000"/>
    <w:charset w:val="86"/>
    <w:family w:val="auto"/>
    <w:pitch w:val="default"/>
    <w:sig w:usb0="A00002BF" w:usb1="3ACF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F4E9D"/>
    <w:multiLevelType w:val="singleLevel"/>
    <w:tmpl w:val="FCBF4E9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5167"/>
    <w:rsid w:val="0011571D"/>
    <w:rsid w:val="002228EC"/>
    <w:rsid w:val="0029677C"/>
    <w:rsid w:val="00333744"/>
    <w:rsid w:val="00534B10"/>
    <w:rsid w:val="00571065"/>
    <w:rsid w:val="008C2E5B"/>
    <w:rsid w:val="00A71BC8"/>
    <w:rsid w:val="00A72AD1"/>
    <w:rsid w:val="00BA2595"/>
    <w:rsid w:val="00BD717C"/>
    <w:rsid w:val="00C74A55"/>
    <w:rsid w:val="00D54D28"/>
    <w:rsid w:val="00F67A7E"/>
    <w:rsid w:val="0A7D3506"/>
    <w:rsid w:val="2FFF5119"/>
    <w:rsid w:val="33D9224E"/>
    <w:rsid w:val="57945167"/>
    <w:rsid w:val="7F3F45B0"/>
    <w:rsid w:val="D3FB7B2B"/>
    <w:rsid w:val="DFDF44DB"/>
    <w:rsid w:val="FDFF48AD"/>
    <w:rsid w:val="FEEE5C08"/>
    <w:rsid w:val="FEE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339</Words>
  <Characters>1935</Characters>
  <Lines>16</Lines>
  <Paragraphs>4</Paragraphs>
  <TotalTime>24</TotalTime>
  <ScaleCrop>false</ScaleCrop>
  <LinksUpToDate>false</LinksUpToDate>
  <CharactersWithSpaces>2270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2020-07-10T17:42:00Z</dcterms:created>
  <dc:creator>Lenovo</dc:creator>
  <cp:lastModifiedBy>kylin</cp:lastModifiedBy>
  <cp:lastPrinted>2021-08-01T03:50:00Z</cp:lastPrinted>
  <dcterms:modified xsi:type="dcterms:W3CDTF">2021-08-10T14:48:26Z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