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华文中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FF0000"/>
          <w:sz w:val="52"/>
          <w:szCs w:val="52"/>
        </w:rPr>
        <w:t xml:space="preserve">              </w:t>
      </w:r>
      <w:r>
        <w:rPr>
          <w:rFonts w:hint="default" w:ascii="Times New Roman" w:hAnsi="Times New Roman" w:cs="Times New Roman"/>
          <w:color w:val="auto"/>
          <w:sz w:val="52"/>
          <w:szCs w:val="52"/>
        </w:rPr>
        <w:t xml:space="preserve">    </w:t>
      </w:r>
      <w:r>
        <w:rPr>
          <w:rFonts w:hint="default" w:ascii="Times New Roman" w:hAnsi="Times New Roman" w:eastAsia="华文中宋" w:cs="Times New Roman"/>
          <w:bCs/>
          <w:color w:val="auto"/>
          <w:sz w:val="32"/>
          <w:szCs w:val="32"/>
        </w:rPr>
        <w:t>津武政备[202</w:t>
      </w:r>
      <w:r>
        <w:rPr>
          <w:rFonts w:hint="eastAsia" w:ascii="Times New Roman" w:hAnsi="Times New Roman" w:eastAsia="华文中宋" w:cs="Times New Roman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Cs/>
          <w:color w:val="auto"/>
          <w:sz w:val="32"/>
          <w:szCs w:val="32"/>
        </w:rPr>
        <w:t>]</w:t>
      </w:r>
      <w:r>
        <w:rPr>
          <w:rFonts w:hint="eastAsia" w:ascii="Times New Roman" w:hAnsi="Times New Roman" w:eastAsia="华文中宋" w:cs="Times New Roman"/>
          <w:bCs/>
          <w:color w:val="auto"/>
          <w:sz w:val="32"/>
          <w:szCs w:val="32"/>
          <w:lang w:val="en-US" w:eastAsia="zh-CN"/>
        </w:rPr>
        <w:t>557</w:t>
      </w:r>
      <w:r>
        <w:rPr>
          <w:rFonts w:hint="default" w:ascii="Times New Roman" w:hAnsi="Times New Roman" w:eastAsia="华文中宋" w:cs="Times New Roman"/>
          <w:bCs/>
          <w:color w:val="auto"/>
          <w:sz w:val="32"/>
          <w:szCs w:val="32"/>
        </w:rPr>
        <w:t>号</w:t>
      </w:r>
    </w:p>
    <w:p>
      <w:pPr>
        <w:rPr>
          <w:rFonts w:hint="default" w:ascii="Times New Roman" w:hAnsi="Times New Roman" w:cs="Times New Roman"/>
          <w:color w:val="FF0000"/>
          <w:sz w:val="52"/>
          <w:szCs w:val="52"/>
          <w:u w:val="single"/>
        </w:rPr>
      </w:pPr>
      <w:r>
        <w:rPr>
          <w:u w:val="thick" w:color="FF0000"/>
        </w:rPr>
        <w:pict>
          <v:shape id="_x0000_i1025" o:spt="136" type="#_x0000_t136" style="height:36.75pt;width:419.25pt;" fillcolor="#FF0000" fill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天津市武清区工业和信息化局" style="font-family:方正小标宋简体;font-size:32pt;v-text-align:center;"/>
            <w10:wrap type="none"/>
            <w10:anchorlock/>
          </v:shape>
        </w:pic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关于组织申报202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28批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天津市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企业技术中心的通知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各镇街、园区：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为深入实施创新驱动发展战略，加快完善以企业为主体、市场为导向、产学研深度融合的技术创新体系，天津市工业和信息化局下发了《市工业和信息化局关于组织申报202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年第2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批天津市企业技术中心的通知》。请各镇街、园区按照文件要求认真组织符合条件的企业申报，并于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日前将申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材料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初稿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报区工信局信息产业科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（远通大厦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1318室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）进行初审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《市工业和信息化局关于组织申报202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年第2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批天津市企业技术中心的通知》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天津市企业技术中心认定管理办法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34" w:rightChars="-64" w:firstLine="645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59" w:leftChars="314" w:hanging="1600" w:hangingChars="5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（联系人：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工业和信息化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局信息产业科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孙丽、慈维悦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36" w:firstLineChars="699"/>
        <w:jc w:val="left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29527257）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bookmarkStart w:id="0" w:name="_GoBack"/>
      <w:bookmarkEnd w:id="0"/>
    </w:p>
    <w:sectPr>
      <w:pgSz w:w="11906" w:h="16838"/>
      <w:pgMar w:top="1440" w:right="1701" w:bottom="1440" w:left="1701" w:header="851" w:footer="992" w:gutter="0"/>
      <w:pgNumType w:fmt="numberInDash"/>
      <w:cols w:space="720" w:num="1"/>
      <w:titlePg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EA30C"/>
    <w:multiLevelType w:val="singleLevel"/>
    <w:tmpl w:val="FFEEA3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FFE00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2021-05-31T10:53:54Z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