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20" w:lineRule="exact"/>
        <w:textAlignment w:val="auto"/>
        <w:outlineLvl w:val="9"/>
        <w:rPr>
          <w:rFonts w:hint="eastAsia" w:eastAsia="黑体"/>
          <w:sz w:val="32"/>
          <w:szCs w:val="32"/>
          <w:lang w:val="en-US" w:eastAsia="zh-CN"/>
        </w:rPr>
      </w:pPr>
      <w:r>
        <w:rPr>
          <w:rFonts w:hint="eastAsia" w:ascii="黑体" w:eastAsia="黑体"/>
          <w:sz w:val="32"/>
          <w:szCs w:val="32"/>
        </w:rPr>
        <w:t>津工信科</w:t>
      </w:r>
      <w:r>
        <w:rPr>
          <w:rFonts w:hint="eastAsia" w:ascii="Times New Roman" w:hAnsi="Times New Roman" w:eastAsia="黑体" w:cs="Times New Roman"/>
          <w:sz w:val="32"/>
          <w:szCs w:val="32"/>
        </w:rPr>
        <w:t>〔2021〕11</w:t>
      </w:r>
      <w:r>
        <w:rPr>
          <w:rFonts w:hint="eastAsia" w:ascii="黑体" w:eastAsia="黑体"/>
          <w:sz w:val="32"/>
          <w:szCs w:val="32"/>
        </w:rPr>
        <w:t>号附件</w:t>
      </w:r>
      <w:r>
        <w:rPr>
          <w:rFonts w:hint="eastAsia" w:eastAsia="黑体"/>
          <w:sz w:val="32"/>
          <w:szCs w:val="32"/>
          <w:lang w:val="en-US" w:eastAsia="zh-CN"/>
        </w:rPr>
        <w:t>4：</w:t>
      </w:r>
    </w:p>
    <w:p>
      <w:pPr>
        <w:pStyle w:val="2"/>
        <w:keepNext w:val="0"/>
        <w:keepLines w:val="0"/>
        <w:pageBreakBefore w:val="0"/>
        <w:widowControl w:val="0"/>
        <w:kinsoku/>
        <w:wordWrap/>
        <w:overflowPunct/>
        <w:topLinePunct w:val="0"/>
        <w:autoSpaceDE/>
        <w:autoSpaceDN/>
        <w:bidi w:val="0"/>
        <w:adjustRightInd/>
        <w:snapToGrid/>
        <w:spacing w:before="0" w:line="520" w:lineRule="exact"/>
        <w:textAlignment w:val="auto"/>
        <w:outlineLvl w:val="9"/>
        <w:rPr>
          <w:rFonts w:hint="eastAsia"/>
          <w:lang w:eastAsia="zh-CN"/>
        </w:rPr>
      </w:pP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outlineLvl w:val="9"/>
        <w:rPr>
          <w:rFonts w:hint="eastAsia" w:ascii="方正小标宋简体" w:hAnsi="宋体" w:eastAsia="方正小标宋简体"/>
          <w:sz w:val="44"/>
          <w:szCs w:val="44"/>
        </w:rPr>
      </w:pPr>
      <w:r>
        <w:rPr>
          <w:rFonts w:hint="eastAsia" w:ascii="方正小标宋简体" w:hAnsi="宋体" w:eastAsia="方正小标宋简体"/>
          <w:sz w:val="44"/>
          <w:szCs w:val="44"/>
        </w:rPr>
        <w:t>填报说明和指标解释</w:t>
      </w:r>
    </w:p>
    <w:p>
      <w:pPr>
        <w:pStyle w:val="17"/>
        <w:keepNext w:val="0"/>
        <w:keepLines w:val="0"/>
        <w:pageBreakBefore w:val="0"/>
        <w:widowControl/>
        <w:kinsoku/>
        <w:wordWrap/>
        <w:overflowPunct/>
        <w:topLinePunct w:val="0"/>
        <w:autoSpaceDE w:val="0"/>
        <w:autoSpaceDN w:val="0"/>
        <w:bidi w:val="0"/>
        <w:adjustRightInd/>
        <w:snapToGrid/>
        <w:spacing w:before="100" w:line="520" w:lineRule="exact"/>
        <w:textAlignment w:val="auto"/>
        <w:outlineLvl w:val="9"/>
        <w:rPr>
          <w:rFonts w:hint="eastAsia" w:ascii="楷体_GB2312" w:hAnsi="楷体_GB2312" w:eastAsia="楷体_GB2312" w:cs="楷体_GB2312"/>
          <w:color w:val="000000"/>
          <w:kern w:val="0"/>
          <w:sz w:val="32"/>
          <w:szCs w:val="32"/>
          <w:lang w:val="en-US" w:eastAsia="zh-CN" w:bidi="ar-SA"/>
        </w:rPr>
      </w:pPr>
      <w:r>
        <w:rPr>
          <w:rFonts w:hint="eastAsia" w:ascii="楷体_GB2312" w:hAnsi="楷体_GB2312" w:eastAsia="楷体_GB2312" w:cs="楷体_GB2312"/>
          <w:color w:val="000000"/>
          <w:kern w:val="0"/>
          <w:sz w:val="32"/>
          <w:szCs w:val="32"/>
          <w:lang w:val="en-US" w:eastAsia="zh-CN" w:bidi="ar-SA"/>
        </w:rPr>
        <w:t>（一）填报说明</w:t>
      </w:r>
    </w:p>
    <w:p>
      <w:pPr>
        <w:pStyle w:val="17"/>
        <w:keepNext w:val="0"/>
        <w:keepLines w:val="0"/>
        <w:pageBreakBefore w:val="0"/>
        <w:kinsoku/>
        <w:wordWrap/>
        <w:overflowPunct/>
        <w:topLinePunct w:val="0"/>
        <w:bidi w:val="0"/>
        <w:adjustRightInd/>
        <w:snapToGrid/>
        <w:spacing w:line="520" w:lineRule="exact"/>
        <w:textAlignment w:val="auto"/>
        <w:rPr>
          <w:rFonts w:hint="eastAsia" w:ascii="Times New Roman" w:hAnsi="Times New Roman" w:eastAsia="仿宋_GB2312" w:cs="Times New Roman"/>
          <w:color w:val="000000"/>
          <w:kern w:val="0"/>
          <w:sz w:val="32"/>
          <w:szCs w:val="32"/>
          <w:lang w:val="en-US" w:eastAsia="zh-CN" w:bidi="ar-SA"/>
        </w:rPr>
      </w:pPr>
      <w:r>
        <w:rPr>
          <w:rFonts w:hint="default" w:ascii="Times New Roman" w:hAnsi="Times New Roman" w:eastAsia="仿宋_GB2312" w:cs="Times New Roman"/>
          <w:color w:val="000000"/>
          <w:kern w:val="0"/>
          <w:sz w:val="32"/>
          <w:szCs w:val="32"/>
          <w:lang w:val="en-US" w:eastAsia="zh-CN" w:bidi="ar-SA"/>
        </w:rPr>
        <w:t>1.</w:t>
      </w:r>
      <w:r>
        <w:rPr>
          <w:rFonts w:hint="eastAsia" w:ascii="Times New Roman" w:eastAsia="仿宋_GB2312" w:cs="Times New Roman"/>
          <w:color w:val="000000"/>
          <w:kern w:val="0"/>
          <w:sz w:val="32"/>
          <w:szCs w:val="32"/>
          <w:lang w:val="en-US" w:eastAsia="zh-CN" w:bidi="ar-SA"/>
        </w:rPr>
        <w:t xml:space="preserve"> </w:t>
      </w:r>
      <w:r>
        <w:rPr>
          <w:rFonts w:hint="eastAsia" w:ascii="Times New Roman" w:hAnsi="Times New Roman" w:eastAsia="仿宋_GB2312" w:cs="Times New Roman"/>
          <w:color w:val="000000"/>
          <w:kern w:val="0"/>
          <w:sz w:val="32"/>
          <w:szCs w:val="32"/>
          <w:lang w:val="en-US" w:eastAsia="zh-CN" w:bidi="ar-SA"/>
        </w:rPr>
        <w:t>纳统行业代码：对照《国民经济行业分类与代码</w:t>
      </w:r>
      <w:r>
        <w:rPr>
          <w:rFonts w:hint="eastAsia" w:ascii="Times New Roman" w:hAnsi="Times New Roman" w:eastAsia="仿宋_GB2312" w:cs="Times New Roman"/>
          <w:color w:val="000000"/>
          <w:kern w:val="0"/>
          <w:sz w:val="32"/>
          <w:szCs w:val="32"/>
          <w:lang w:val="en-US" w:eastAsia="zh-CN" w:bidi="ar-SA"/>
        </w:rPr>
        <w:fldChar w:fldCharType="begin"/>
      </w:r>
      <w:r>
        <w:rPr>
          <w:rFonts w:hint="eastAsia" w:ascii="Times New Roman" w:hAnsi="Times New Roman" w:eastAsia="仿宋_GB2312" w:cs="Times New Roman"/>
          <w:color w:val="000000"/>
          <w:kern w:val="0"/>
          <w:sz w:val="32"/>
          <w:szCs w:val="32"/>
          <w:lang w:val="en-US" w:eastAsia="zh-CN" w:bidi="ar-SA"/>
        </w:rPr>
        <w:instrText xml:space="preserve"> HYPERLINK "https://www.baidu.com/link?url=DTI3yBYDWR6CSZYIIUiQodxvTY-ycuE3mjLb0hWfXZgDM6R0WwT3CLWPunuFkA1Cx8agIt0pwix9myjESPO8IK&amp;wd=&amp;eqid=b42e6cfc00001452000000025a6fd6ae" \t "_blank" </w:instrText>
      </w:r>
      <w:r>
        <w:rPr>
          <w:rFonts w:hint="eastAsia" w:ascii="Times New Roman" w:hAnsi="Times New Roman" w:eastAsia="仿宋_GB2312" w:cs="Times New Roman"/>
          <w:color w:val="000000"/>
          <w:kern w:val="0"/>
          <w:sz w:val="32"/>
          <w:szCs w:val="32"/>
          <w:lang w:val="en-US" w:eastAsia="zh-CN" w:bidi="ar-SA"/>
        </w:rPr>
        <w:fldChar w:fldCharType="separate"/>
      </w:r>
      <w:r>
        <w:rPr>
          <w:rFonts w:hint="eastAsia" w:ascii="Times New Roman" w:hAnsi="Times New Roman" w:eastAsia="仿宋_GB2312" w:cs="Times New Roman"/>
          <w:color w:val="000000"/>
          <w:kern w:val="0"/>
          <w:sz w:val="32"/>
          <w:szCs w:val="32"/>
          <w:lang w:val="en-US" w:eastAsia="zh-CN" w:bidi="ar-SA"/>
        </w:rPr>
        <w:t>(GB/T 4754—2017)</w:t>
      </w:r>
      <w:r>
        <w:rPr>
          <w:rFonts w:hint="eastAsia" w:ascii="Times New Roman" w:hAnsi="Times New Roman" w:eastAsia="仿宋_GB2312" w:cs="Times New Roman"/>
          <w:color w:val="000000"/>
          <w:kern w:val="0"/>
          <w:sz w:val="32"/>
          <w:szCs w:val="32"/>
          <w:lang w:val="en-US" w:eastAsia="zh-CN" w:bidi="ar-SA"/>
        </w:rPr>
        <w:fldChar w:fldCharType="end"/>
      </w:r>
      <w:r>
        <w:rPr>
          <w:rFonts w:hint="eastAsia" w:ascii="Times New Roman" w:hAnsi="Times New Roman" w:eastAsia="仿宋_GB2312" w:cs="Times New Roman"/>
          <w:color w:val="000000"/>
          <w:kern w:val="0"/>
          <w:sz w:val="32"/>
          <w:szCs w:val="32"/>
          <w:lang w:val="en-US" w:eastAsia="zh-CN" w:bidi="ar-SA"/>
        </w:rPr>
        <w:t>》，填写企业主营业务对应的统计“小类”（四位码）编号。</w:t>
      </w:r>
    </w:p>
    <w:p>
      <w:pPr>
        <w:pStyle w:val="17"/>
        <w:keepNext w:val="0"/>
        <w:keepLines w:val="0"/>
        <w:pageBreakBefore w:val="0"/>
        <w:kinsoku/>
        <w:wordWrap/>
        <w:overflowPunct/>
        <w:topLinePunct w:val="0"/>
        <w:bidi w:val="0"/>
        <w:adjustRightInd/>
        <w:snapToGrid/>
        <w:spacing w:line="520" w:lineRule="exact"/>
        <w:textAlignment w:val="auto"/>
        <w:rPr>
          <w:rFonts w:hint="eastAsia" w:ascii="Times New Roman" w:hAnsi="Times New Roman" w:eastAsia="仿宋_GB2312" w:cs="Times New Roman"/>
          <w:color w:val="000000"/>
          <w:kern w:val="0"/>
          <w:sz w:val="32"/>
          <w:szCs w:val="32"/>
          <w:lang w:val="en-US" w:eastAsia="zh-CN" w:bidi="ar-SA"/>
        </w:rPr>
      </w:pPr>
      <w:r>
        <w:rPr>
          <w:rFonts w:hint="eastAsia" w:ascii="Times New Roman" w:hAnsi="Times New Roman" w:eastAsia="仿宋_GB2312" w:cs="Times New Roman"/>
          <w:color w:val="000000"/>
          <w:kern w:val="0"/>
          <w:sz w:val="32"/>
          <w:szCs w:val="32"/>
          <w:lang w:val="en-US" w:eastAsia="zh-CN" w:bidi="ar-SA"/>
        </w:rPr>
        <w:t>2.</w:t>
      </w:r>
      <w:r>
        <w:rPr>
          <w:rFonts w:hint="eastAsia" w:ascii="Times New Roman" w:eastAsia="仿宋_GB2312" w:cs="Times New Roman"/>
          <w:color w:val="000000"/>
          <w:kern w:val="0"/>
          <w:sz w:val="32"/>
          <w:szCs w:val="32"/>
          <w:lang w:val="en-US" w:eastAsia="zh-CN" w:bidi="ar-SA"/>
        </w:rPr>
        <w:t xml:space="preserve"> </w:t>
      </w:r>
      <w:r>
        <w:rPr>
          <w:rFonts w:hint="eastAsia" w:ascii="Times New Roman" w:hAnsi="Times New Roman" w:eastAsia="仿宋_GB2312" w:cs="Times New Roman"/>
          <w:color w:val="000000"/>
          <w:kern w:val="0"/>
          <w:sz w:val="32"/>
          <w:szCs w:val="32"/>
          <w:lang w:val="en-US" w:eastAsia="zh-CN" w:bidi="ar-SA"/>
        </w:rPr>
        <w:t>报告年度：指表中指标统计年度，时间范围从填写评价表的上一年1月1日至12月31日；所有指标的填报时间范围，如无特殊说明，均为报告年度。</w:t>
      </w:r>
    </w:p>
    <w:p>
      <w:pPr>
        <w:pStyle w:val="17"/>
        <w:keepNext w:val="0"/>
        <w:keepLines w:val="0"/>
        <w:pageBreakBefore w:val="0"/>
        <w:kinsoku/>
        <w:wordWrap/>
        <w:overflowPunct/>
        <w:topLinePunct w:val="0"/>
        <w:bidi w:val="0"/>
        <w:adjustRightInd/>
        <w:snapToGrid/>
        <w:spacing w:line="520" w:lineRule="exact"/>
        <w:textAlignment w:val="auto"/>
        <w:rPr>
          <w:rFonts w:hint="eastAsia" w:ascii="Times New Roman" w:hAnsi="Times New Roman" w:eastAsia="仿宋_GB2312" w:cs="Times New Roman"/>
          <w:color w:val="000000"/>
          <w:kern w:val="0"/>
          <w:sz w:val="32"/>
          <w:szCs w:val="32"/>
          <w:lang w:val="en-US" w:eastAsia="zh-CN" w:bidi="ar-SA"/>
        </w:rPr>
      </w:pPr>
      <w:r>
        <w:rPr>
          <w:rFonts w:hint="eastAsia" w:ascii="Times New Roman" w:eastAsia="仿宋_GB2312" w:cs="Times New Roman"/>
          <w:color w:val="000000"/>
          <w:kern w:val="0"/>
          <w:sz w:val="32"/>
          <w:szCs w:val="32"/>
          <w:lang w:val="en-US" w:eastAsia="zh-CN" w:bidi="ar-SA"/>
        </w:rPr>
        <w:t xml:space="preserve">3. </w:t>
      </w:r>
      <w:r>
        <w:rPr>
          <w:rFonts w:hint="eastAsia" w:ascii="Times New Roman" w:hAnsi="Times New Roman" w:eastAsia="仿宋_GB2312" w:cs="Times New Roman"/>
          <w:color w:val="000000"/>
          <w:kern w:val="0"/>
          <w:sz w:val="32"/>
          <w:szCs w:val="32"/>
          <w:lang w:val="en-US" w:eastAsia="zh-CN" w:bidi="ar-SA"/>
        </w:rPr>
        <w:t>大型企业集团应将与企业主营业务相关下属企业（包括分公司、子公司和控股公司）的107-1表、107-2表、资产负债表、</w:t>
      </w:r>
      <w:r>
        <w:rPr>
          <w:rFonts w:hint="eastAsia" w:ascii="Times New Roman" w:eastAsia="仿宋_GB2312" w:cs="Times New Roman"/>
          <w:color w:val="000000"/>
          <w:kern w:val="0"/>
          <w:sz w:val="32"/>
          <w:szCs w:val="32"/>
          <w:lang w:val="en-US" w:eastAsia="zh-CN" w:bidi="ar-SA"/>
        </w:rPr>
        <w:t>利润</w:t>
      </w:r>
      <w:r>
        <w:rPr>
          <w:rFonts w:hint="eastAsia" w:ascii="Times New Roman" w:hAnsi="Times New Roman" w:eastAsia="仿宋_GB2312" w:cs="Times New Roman"/>
          <w:color w:val="000000"/>
          <w:kern w:val="0"/>
          <w:sz w:val="32"/>
          <w:szCs w:val="32"/>
          <w:lang w:val="en-US" w:eastAsia="zh-CN" w:bidi="ar-SA"/>
        </w:rPr>
        <w:t>表、现金流量表等进行合并填报，下属企业为市级企业技术中心的</w:t>
      </w:r>
      <w:r>
        <w:rPr>
          <w:rFonts w:hint="eastAsia" w:ascii="Times New Roman" w:eastAsia="仿宋_GB2312" w:cs="Times New Roman"/>
          <w:color w:val="000000"/>
          <w:kern w:val="0"/>
          <w:sz w:val="32"/>
          <w:szCs w:val="32"/>
          <w:lang w:val="en-US" w:eastAsia="zh-CN" w:bidi="ar-SA"/>
        </w:rPr>
        <w:t>单独填报，</w:t>
      </w:r>
      <w:r>
        <w:rPr>
          <w:rFonts w:hint="eastAsia" w:ascii="Times New Roman" w:hAnsi="Times New Roman" w:eastAsia="仿宋_GB2312" w:cs="Times New Roman"/>
          <w:color w:val="000000"/>
          <w:kern w:val="0"/>
          <w:sz w:val="32"/>
          <w:szCs w:val="32"/>
          <w:lang w:val="en-US" w:eastAsia="zh-CN" w:bidi="ar-SA"/>
        </w:rPr>
        <w:t>不进行合并。</w:t>
      </w:r>
    </w:p>
    <w:p>
      <w:pPr>
        <w:pStyle w:val="17"/>
        <w:keepNext w:val="0"/>
        <w:keepLines w:val="0"/>
        <w:pageBreakBefore w:val="0"/>
        <w:kinsoku/>
        <w:wordWrap/>
        <w:overflowPunct/>
        <w:topLinePunct w:val="0"/>
        <w:bidi w:val="0"/>
        <w:adjustRightInd/>
        <w:snapToGrid/>
        <w:spacing w:line="520" w:lineRule="exact"/>
        <w:textAlignment w:val="auto"/>
        <w:rPr>
          <w:rFonts w:hint="eastAsia" w:ascii="楷体_GB2312" w:hAnsi="楷体_GB2312" w:eastAsia="楷体_GB2312" w:cs="楷体_GB2312"/>
          <w:color w:val="000000"/>
          <w:kern w:val="0"/>
          <w:sz w:val="32"/>
          <w:szCs w:val="32"/>
          <w:lang w:val="en-US" w:eastAsia="zh-CN" w:bidi="ar-SA"/>
        </w:rPr>
      </w:pPr>
      <w:r>
        <w:rPr>
          <w:rFonts w:hint="eastAsia" w:ascii="楷体_GB2312" w:hAnsi="楷体_GB2312" w:eastAsia="楷体_GB2312" w:cs="楷体_GB2312"/>
          <w:color w:val="000000"/>
          <w:kern w:val="0"/>
          <w:sz w:val="32"/>
          <w:szCs w:val="32"/>
          <w:lang w:val="en-US" w:eastAsia="zh-CN" w:bidi="ar-SA"/>
        </w:rPr>
        <w:t>（二）指标解释</w:t>
      </w:r>
    </w:p>
    <w:p>
      <w:pPr>
        <w:pStyle w:val="4"/>
        <w:keepNext w:val="0"/>
        <w:keepLines w:val="0"/>
        <w:pageBreakBefore w:val="0"/>
        <w:widowControl w:val="0"/>
        <w:kinsoku/>
        <w:wordWrap/>
        <w:overflowPunct/>
        <w:topLinePunct w:val="0"/>
        <w:autoSpaceDE/>
        <w:autoSpaceDN/>
        <w:bidi w:val="0"/>
        <w:adjustRightInd/>
        <w:snapToGrid/>
        <w:spacing w:line="520" w:lineRule="exact"/>
        <w:ind w:firstLine="622" w:firstLineChars="200"/>
        <w:jc w:val="left"/>
        <w:textAlignment w:val="auto"/>
        <w:outlineLvl w:val="9"/>
        <w:rPr>
          <w:rFonts w:hint="eastAsia" w:ascii="仿宋_GB2312" w:hAnsi="Times New Roman" w:eastAsia="仿宋_GB2312" w:cs="宋体"/>
          <w:sz w:val="32"/>
          <w:szCs w:val="32"/>
          <w:lang w:val="en-US" w:eastAsia="zh-CN"/>
        </w:rPr>
      </w:pPr>
      <w:r>
        <w:rPr>
          <w:rFonts w:hint="default" w:ascii="Times New Roman" w:hAnsi="Times New Roman" w:eastAsia="仿宋_GB2312" w:cs="Times New Roman"/>
          <w:sz w:val="32"/>
          <w:szCs w:val="32"/>
        </w:rPr>
        <w:t>1．</w:t>
      </w:r>
      <w:r>
        <w:rPr>
          <w:rFonts w:hint="eastAsia" w:ascii="仿宋_GB2312" w:hAnsi="Times New Roman" w:eastAsia="仿宋_GB2312" w:cs="宋体"/>
          <w:sz w:val="32"/>
          <w:szCs w:val="32"/>
          <w:lang w:val="en-US" w:eastAsia="zh-CN"/>
        </w:rPr>
        <w:t>营业收入总额</w:t>
      </w:r>
      <w:r>
        <w:rPr>
          <w:rFonts w:hint="eastAsia" w:ascii="仿宋_GB2312" w:hAnsi="Times New Roman" w:eastAsia="仿宋_GB2312" w:cs="宋体"/>
          <w:sz w:val="32"/>
          <w:szCs w:val="32"/>
        </w:rPr>
        <w:t>：</w:t>
      </w:r>
      <w:r>
        <w:rPr>
          <w:rFonts w:hint="eastAsia" w:ascii="仿宋_GB2312" w:hAnsi="Times New Roman" w:eastAsia="仿宋_GB2312" w:cs="宋体"/>
          <w:sz w:val="32"/>
          <w:szCs w:val="32"/>
          <w:lang w:val="en-US" w:eastAsia="zh-CN"/>
        </w:rPr>
        <w:t>指企业从事销售商品、提供劳务和让渡资产使用权等生产经营活动形成的经济利益流入。包括“主营业务收入”和“其他业务收入”。根据会计“利润表”中“营业收入”项目的本年累计数填报。</w:t>
      </w:r>
    </w:p>
    <w:p>
      <w:pPr>
        <w:pStyle w:val="4"/>
        <w:keepNext w:val="0"/>
        <w:keepLines w:val="0"/>
        <w:pageBreakBefore w:val="0"/>
        <w:widowControl w:val="0"/>
        <w:kinsoku/>
        <w:wordWrap/>
        <w:overflowPunct/>
        <w:topLinePunct w:val="0"/>
        <w:autoSpaceDE/>
        <w:autoSpaceDN/>
        <w:bidi w:val="0"/>
        <w:adjustRightInd/>
        <w:snapToGrid/>
        <w:spacing w:line="520" w:lineRule="exact"/>
        <w:ind w:firstLine="622" w:firstLineChars="200"/>
        <w:jc w:val="left"/>
        <w:textAlignment w:val="auto"/>
        <w:outlineLvl w:val="9"/>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rPr>
        <w:t>．</w:t>
      </w:r>
      <w:r>
        <w:rPr>
          <w:rFonts w:hint="eastAsia" w:ascii="Times New Roman" w:hAnsi="Times New Roman" w:eastAsia="仿宋_GB2312" w:cs="Times New Roman"/>
          <w:sz w:val="32"/>
          <w:szCs w:val="32"/>
          <w:lang w:val="en-US" w:eastAsia="zh-CN"/>
        </w:rPr>
        <w:t>利润总额：指报告年度企业生产经营过程中各种收入扣除各种耗费后的盈余，反映企业在报告期内实现的盈亏总额。根据会计“利润表”中“利润总额”项目的本年累计数填报。</w:t>
      </w:r>
    </w:p>
    <w:p>
      <w:pPr>
        <w:pStyle w:val="4"/>
        <w:keepNext w:val="0"/>
        <w:keepLines w:val="0"/>
        <w:pageBreakBefore w:val="0"/>
        <w:widowControl w:val="0"/>
        <w:kinsoku/>
        <w:wordWrap/>
        <w:overflowPunct/>
        <w:topLinePunct w:val="0"/>
        <w:autoSpaceDE/>
        <w:autoSpaceDN/>
        <w:bidi w:val="0"/>
        <w:adjustRightInd/>
        <w:snapToGrid/>
        <w:spacing w:line="520" w:lineRule="exact"/>
        <w:ind w:firstLine="622" w:firstLineChars="200"/>
        <w:jc w:val="left"/>
        <w:textAlignment w:val="auto"/>
        <w:outlineLvl w:val="9"/>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3</w:t>
      </w:r>
      <w:r>
        <w:rPr>
          <w:rFonts w:hint="default" w:ascii="Times New Roman" w:hAnsi="Times New Roman" w:eastAsia="仿宋_GB2312" w:cs="Times New Roman"/>
          <w:sz w:val="32"/>
          <w:szCs w:val="32"/>
          <w:lang w:val="en-US" w:eastAsia="zh-CN"/>
        </w:rPr>
        <w:t>．</w:t>
      </w:r>
      <w:r>
        <w:rPr>
          <w:rFonts w:hint="eastAsia" w:ascii="Times New Roman" w:hAnsi="Times New Roman" w:eastAsia="仿宋_GB2312" w:cs="Times New Roman"/>
          <w:sz w:val="32"/>
          <w:szCs w:val="32"/>
          <w:lang w:val="en-US" w:eastAsia="zh-CN"/>
        </w:rPr>
        <w:t>企业从业人员（期末数）：指报告年度最后一日24时在本单位工作，并取得工资或其他形式劳动报酬的人员数。该指标为时点指标，不包括最后一日当天及以前已经与单位解除劳动合同关系的人员，是在岗职工、劳务派遣人员及其他从业人员之和。</w:t>
      </w:r>
    </w:p>
    <w:p>
      <w:pPr>
        <w:pStyle w:val="4"/>
        <w:keepNext w:val="0"/>
        <w:keepLines w:val="0"/>
        <w:pageBreakBefore w:val="0"/>
        <w:widowControl w:val="0"/>
        <w:kinsoku/>
        <w:wordWrap/>
        <w:overflowPunct/>
        <w:topLinePunct w:val="0"/>
        <w:autoSpaceDE/>
        <w:autoSpaceDN/>
        <w:bidi w:val="0"/>
        <w:adjustRightInd/>
        <w:snapToGrid/>
        <w:spacing w:line="520" w:lineRule="exact"/>
        <w:ind w:firstLine="622" w:firstLineChars="200"/>
        <w:jc w:val="left"/>
        <w:textAlignment w:val="auto"/>
        <w:outlineLvl w:val="9"/>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4</w:t>
      </w:r>
      <w:r>
        <w:rPr>
          <w:rFonts w:hint="default" w:ascii="Times New Roman" w:hAnsi="Times New Roman" w:eastAsia="仿宋_GB2312" w:cs="Times New Roman"/>
          <w:sz w:val="32"/>
          <w:szCs w:val="32"/>
          <w:lang w:val="en-US" w:eastAsia="zh-CN"/>
        </w:rPr>
        <w:t>．</w:t>
      </w:r>
      <w:r>
        <w:rPr>
          <w:rFonts w:hint="eastAsia" w:ascii="Times New Roman" w:hAnsi="Times New Roman" w:eastAsia="仿宋_GB2312" w:cs="Times New Roman"/>
          <w:sz w:val="32"/>
          <w:szCs w:val="32"/>
          <w:lang w:val="en-US" w:eastAsia="zh-CN"/>
        </w:rPr>
        <w:t>研究开发活动：研究是指为获取并理解新的科学或技术知识而进行的独创性的有计划调查。开发是指在进行商业性生产或使用前，将研究成果或其他知识应用于某项计划或设计，以生产出新的或具有实质性改进的材料、装置、产品等。</w:t>
      </w:r>
    </w:p>
    <w:p>
      <w:pPr>
        <w:pStyle w:val="4"/>
        <w:keepNext w:val="0"/>
        <w:keepLines w:val="0"/>
        <w:pageBreakBefore w:val="0"/>
        <w:widowControl w:val="0"/>
        <w:kinsoku/>
        <w:wordWrap/>
        <w:overflowPunct/>
        <w:topLinePunct w:val="0"/>
        <w:autoSpaceDE/>
        <w:autoSpaceDN/>
        <w:bidi w:val="0"/>
        <w:adjustRightInd/>
        <w:snapToGrid/>
        <w:spacing w:line="520" w:lineRule="exact"/>
        <w:ind w:firstLine="622" w:firstLineChars="200"/>
        <w:jc w:val="left"/>
        <w:textAlignment w:val="auto"/>
        <w:outlineLvl w:val="9"/>
        <w:rPr>
          <w:rFonts w:hint="eastAsia"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5</w:t>
      </w:r>
      <w:r>
        <w:rPr>
          <w:rFonts w:hint="default" w:ascii="Times New Roman" w:hAnsi="Times New Roman" w:eastAsia="仿宋_GB2312" w:cs="Times New Roman"/>
          <w:sz w:val="32"/>
          <w:szCs w:val="32"/>
          <w:highlight w:val="none"/>
          <w:lang w:val="en-US" w:eastAsia="zh-CN"/>
        </w:rPr>
        <w:t>．</w:t>
      </w:r>
      <w:r>
        <w:rPr>
          <w:rFonts w:hint="eastAsia" w:ascii="Times New Roman" w:hAnsi="Times New Roman" w:eastAsia="仿宋_GB2312" w:cs="Times New Roman"/>
          <w:sz w:val="32"/>
          <w:szCs w:val="32"/>
          <w:highlight w:val="none"/>
          <w:lang w:val="en-US" w:eastAsia="zh-CN"/>
        </w:rPr>
        <w:t>企业拥有研究开发人员数：指报告年度内企业参加研究开发活动的人员合计。该指标应与“企业研究开发活动及相关情况”（107-2表）数据对应。</w:t>
      </w:r>
    </w:p>
    <w:p>
      <w:pPr>
        <w:pStyle w:val="4"/>
        <w:keepNext w:val="0"/>
        <w:keepLines w:val="0"/>
        <w:pageBreakBefore w:val="0"/>
        <w:widowControl w:val="0"/>
        <w:kinsoku/>
        <w:wordWrap/>
        <w:overflowPunct/>
        <w:topLinePunct w:val="0"/>
        <w:autoSpaceDE/>
        <w:autoSpaceDN/>
        <w:bidi w:val="0"/>
        <w:adjustRightInd/>
        <w:snapToGrid/>
        <w:spacing w:line="520" w:lineRule="exact"/>
        <w:ind w:firstLine="622" w:firstLineChars="200"/>
        <w:jc w:val="left"/>
        <w:textAlignment w:val="auto"/>
        <w:outlineLvl w:val="9"/>
        <w:rPr>
          <w:rFonts w:hint="eastAsia"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6</w:t>
      </w:r>
      <w:r>
        <w:rPr>
          <w:rFonts w:hint="default" w:ascii="Times New Roman" w:hAnsi="Times New Roman" w:eastAsia="仿宋_GB2312" w:cs="Times New Roman"/>
          <w:sz w:val="32"/>
          <w:szCs w:val="32"/>
          <w:highlight w:val="none"/>
          <w:lang w:val="en-US" w:eastAsia="zh-CN"/>
        </w:rPr>
        <w:t>．</w:t>
      </w:r>
      <w:r>
        <w:rPr>
          <w:rFonts w:hint="eastAsia" w:ascii="Times New Roman" w:hAnsi="Times New Roman" w:eastAsia="仿宋_GB2312" w:cs="Times New Roman"/>
          <w:sz w:val="32"/>
          <w:szCs w:val="32"/>
          <w:highlight w:val="none"/>
          <w:lang w:val="en-US" w:eastAsia="zh-CN"/>
        </w:rPr>
        <w:t>企业拥有研究开发人员数（全职人员）：指报告年度内企业研究开发人员中实际从事研究开发活动的时间占制度工作时间90%及以上的人员，不含外聘人员。该指标应与“企业研究开发活动及相关情况”（107-2表）数据对应。</w:t>
      </w:r>
    </w:p>
    <w:p>
      <w:pPr>
        <w:pStyle w:val="4"/>
        <w:keepNext w:val="0"/>
        <w:keepLines w:val="0"/>
        <w:pageBreakBefore w:val="0"/>
        <w:widowControl w:val="0"/>
        <w:kinsoku/>
        <w:wordWrap/>
        <w:overflowPunct/>
        <w:topLinePunct w:val="0"/>
        <w:autoSpaceDE/>
        <w:autoSpaceDN/>
        <w:bidi w:val="0"/>
        <w:adjustRightInd/>
        <w:snapToGrid/>
        <w:spacing w:line="520" w:lineRule="exact"/>
        <w:ind w:firstLine="622" w:firstLineChars="200"/>
        <w:jc w:val="left"/>
        <w:textAlignment w:val="auto"/>
        <w:outlineLvl w:val="9"/>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7</w:t>
      </w:r>
      <w:r>
        <w:rPr>
          <w:rFonts w:hint="default" w:ascii="Times New Roman" w:hAnsi="Times New Roman" w:eastAsia="仿宋_GB2312" w:cs="Times New Roman"/>
          <w:sz w:val="32"/>
          <w:szCs w:val="32"/>
          <w:lang w:val="en-US" w:eastAsia="zh-CN"/>
        </w:rPr>
        <w:t>．</w:t>
      </w:r>
      <w:r>
        <w:rPr>
          <w:rFonts w:hint="eastAsia" w:ascii="Times New Roman" w:hAnsi="Times New Roman" w:eastAsia="仿宋_GB2312" w:cs="Times New Roman"/>
          <w:sz w:val="32"/>
          <w:szCs w:val="32"/>
          <w:lang w:val="en-US" w:eastAsia="zh-CN"/>
        </w:rPr>
        <w:t>研发经费支出总额：指报告年度内企业用于研究开发活动的费用合计，包括人员人工费用、直接投入费用、折旧费用与长期待摊费用、无形资产摊销费用、设计费用、装备调试费用与试验费用、委托外部研究开发费用及其他费用。该指标应与“企业研究开发活动及相关情况”（107-2表）数据对应。</w:t>
      </w:r>
    </w:p>
    <w:p>
      <w:pPr>
        <w:pStyle w:val="4"/>
        <w:keepNext w:val="0"/>
        <w:keepLines w:val="0"/>
        <w:pageBreakBefore w:val="0"/>
        <w:widowControl w:val="0"/>
        <w:kinsoku/>
        <w:wordWrap/>
        <w:overflowPunct/>
        <w:topLinePunct w:val="0"/>
        <w:autoSpaceDE/>
        <w:autoSpaceDN/>
        <w:bidi w:val="0"/>
        <w:adjustRightInd/>
        <w:snapToGrid/>
        <w:spacing w:line="520" w:lineRule="exact"/>
        <w:ind w:firstLine="622" w:firstLineChars="200"/>
        <w:jc w:val="left"/>
        <w:textAlignment w:val="auto"/>
        <w:outlineLvl w:val="9"/>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8</w:t>
      </w:r>
      <w:r>
        <w:rPr>
          <w:rFonts w:hint="default" w:ascii="Times New Roman" w:hAnsi="Times New Roman" w:eastAsia="仿宋_GB2312" w:cs="Times New Roman"/>
          <w:sz w:val="32"/>
          <w:szCs w:val="32"/>
          <w:lang w:val="en-US" w:eastAsia="zh-CN"/>
        </w:rPr>
        <w:t>．</w:t>
      </w:r>
      <w:r>
        <w:rPr>
          <w:rFonts w:hint="eastAsia" w:ascii="Times New Roman" w:hAnsi="Times New Roman" w:eastAsia="仿宋_GB2312" w:cs="Times New Roman"/>
          <w:sz w:val="32"/>
          <w:szCs w:val="32"/>
          <w:lang w:val="en-US" w:eastAsia="zh-CN"/>
        </w:rPr>
        <w:t>来自于政府部门研发经费支出总额：指报告年度内企业从政府有关部门获得的研究开发经费合计，包括科技专项费、科研基建费、政府专项基金和补贴等。该指标应与“企业研究开发活动及相关情况”（107-2表）数据对应。</w:t>
      </w:r>
    </w:p>
    <w:p>
      <w:pPr>
        <w:pStyle w:val="4"/>
        <w:keepNext w:val="0"/>
        <w:keepLines w:val="0"/>
        <w:pageBreakBefore w:val="0"/>
        <w:widowControl w:val="0"/>
        <w:kinsoku/>
        <w:wordWrap/>
        <w:overflowPunct/>
        <w:topLinePunct w:val="0"/>
        <w:autoSpaceDE/>
        <w:autoSpaceDN/>
        <w:bidi w:val="0"/>
        <w:adjustRightInd/>
        <w:snapToGrid/>
        <w:spacing w:line="520" w:lineRule="exact"/>
        <w:ind w:firstLine="622" w:firstLineChars="200"/>
        <w:jc w:val="left"/>
        <w:textAlignment w:val="auto"/>
        <w:outlineLvl w:val="9"/>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9</w:t>
      </w:r>
      <w:r>
        <w:rPr>
          <w:rFonts w:hint="default" w:ascii="Times New Roman" w:hAnsi="Times New Roman" w:eastAsia="仿宋_GB2312" w:cs="Times New Roman"/>
          <w:sz w:val="32"/>
          <w:szCs w:val="32"/>
          <w:lang w:val="en-US" w:eastAsia="zh-CN"/>
        </w:rPr>
        <w:t>．</w:t>
      </w:r>
      <w:r>
        <w:rPr>
          <w:rFonts w:hint="eastAsia" w:ascii="Times New Roman" w:hAnsi="Times New Roman" w:eastAsia="仿宋_GB2312" w:cs="Times New Roman"/>
          <w:sz w:val="32"/>
          <w:szCs w:val="32"/>
          <w:lang w:val="en-US" w:eastAsia="zh-CN"/>
        </w:rPr>
        <w:t>技术中心高级专家：指截至报告年度末全职在技术中心工作、获得国家、省、部等政府部门认定的有突出贡献的专家或者享受国家、省、部专项津贴，以及其他类型专家（包括国家千人计划、万人计划，天津市“131”创新型人才培养工程第一层次等），外聘及70周岁以上专家不计入。</w:t>
      </w:r>
    </w:p>
    <w:p>
      <w:pPr>
        <w:pStyle w:val="4"/>
        <w:keepNext w:val="0"/>
        <w:keepLines w:val="0"/>
        <w:pageBreakBefore w:val="0"/>
        <w:widowControl w:val="0"/>
        <w:kinsoku/>
        <w:wordWrap/>
        <w:overflowPunct/>
        <w:topLinePunct w:val="0"/>
        <w:autoSpaceDE/>
        <w:autoSpaceDN/>
        <w:bidi w:val="0"/>
        <w:adjustRightInd/>
        <w:snapToGrid/>
        <w:spacing w:line="520" w:lineRule="exact"/>
        <w:ind w:firstLine="622" w:firstLineChars="200"/>
        <w:jc w:val="left"/>
        <w:textAlignment w:val="auto"/>
        <w:outlineLvl w:val="9"/>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10</w:t>
      </w:r>
      <w:r>
        <w:rPr>
          <w:rFonts w:hint="default" w:ascii="Times New Roman" w:hAnsi="Times New Roman" w:eastAsia="仿宋_GB2312" w:cs="Times New Roman"/>
          <w:sz w:val="32"/>
          <w:szCs w:val="32"/>
          <w:lang w:val="en-US" w:eastAsia="zh-CN"/>
        </w:rPr>
        <w:t>．</w:t>
      </w:r>
      <w:r>
        <w:rPr>
          <w:rFonts w:hint="eastAsia" w:ascii="Times New Roman" w:hAnsi="Times New Roman" w:eastAsia="仿宋_GB2312" w:cs="Times New Roman"/>
          <w:sz w:val="32"/>
          <w:szCs w:val="32"/>
          <w:lang w:val="en-US" w:eastAsia="zh-CN"/>
        </w:rPr>
        <w:t>技术中心博士：指截至报告年度末全职在技术中心工作，具有博士学历或博士学位的研究开发人员。在站博士后可以作为博士进行统计。</w:t>
      </w:r>
    </w:p>
    <w:p>
      <w:pPr>
        <w:pStyle w:val="4"/>
        <w:keepNext w:val="0"/>
        <w:keepLines w:val="0"/>
        <w:pageBreakBefore w:val="0"/>
        <w:widowControl w:val="0"/>
        <w:kinsoku/>
        <w:wordWrap/>
        <w:overflowPunct/>
        <w:topLinePunct w:val="0"/>
        <w:autoSpaceDE/>
        <w:autoSpaceDN/>
        <w:bidi w:val="0"/>
        <w:adjustRightInd/>
        <w:snapToGrid/>
        <w:spacing w:line="520" w:lineRule="exact"/>
        <w:ind w:firstLine="622" w:firstLineChars="200"/>
        <w:jc w:val="left"/>
        <w:textAlignment w:val="auto"/>
        <w:outlineLvl w:val="9"/>
        <w:rPr>
          <w:rFonts w:hint="eastAsia" w:ascii="仿宋_GB2312" w:hAnsi="Times New Roman" w:eastAsia="仿宋_GB2312" w:cs="宋体"/>
          <w:sz w:val="32"/>
          <w:szCs w:val="32"/>
          <w:lang w:val="en-US" w:eastAsia="zh-CN"/>
        </w:rPr>
      </w:pPr>
      <w:r>
        <w:rPr>
          <w:rFonts w:hint="eastAsia" w:ascii="Times New Roman" w:hAnsi="Times New Roman" w:eastAsia="仿宋_GB2312" w:cs="Times New Roman"/>
          <w:sz w:val="32"/>
          <w:szCs w:val="32"/>
          <w:lang w:val="en-US" w:eastAsia="zh-CN"/>
        </w:rPr>
        <w:t>11</w:t>
      </w:r>
      <w:r>
        <w:rPr>
          <w:rFonts w:hint="default" w:ascii="Times New Roman" w:hAnsi="Times New Roman" w:eastAsia="仿宋_GB2312" w:cs="Times New Roman"/>
          <w:sz w:val="32"/>
          <w:szCs w:val="32"/>
          <w:lang w:val="en-US" w:eastAsia="zh-CN"/>
        </w:rPr>
        <w:t>．</w:t>
      </w:r>
      <w:r>
        <w:rPr>
          <w:rFonts w:hint="eastAsia" w:ascii="Times New Roman" w:hAnsi="Times New Roman" w:eastAsia="仿宋_GB2312" w:cs="Times New Roman"/>
          <w:sz w:val="32"/>
          <w:szCs w:val="32"/>
          <w:lang w:val="en-US" w:eastAsia="zh-CN"/>
        </w:rPr>
        <w:t>来技术中心从事研发工作的外部专家人数：</w:t>
      </w:r>
      <w:r>
        <w:rPr>
          <w:rFonts w:hint="eastAsia" w:ascii="仿宋_GB2312" w:hAnsi="Times New Roman" w:eastAsia="仿宋_GB2312" w:cs="宋体"/>
          <w:sz w:val="32"/>
          <w:szCs w:val="32"/>
        </w:rPr>
        <w:t>指截至报告年度末来技术中心从事研究、技术开发工作的具有较高科技开发能力的海内外专家累计人月。最小统计单位为：</w:t>
      </w:r>
      <w:r>
        <w:rPr>
          <w:rFonts w:hint="eastAsia" w:ascii="Times New Roman" w:hAnsi="Times New Roman" w:eastAsia="仿宋_GB2312" w:cs="Times New Roman"/>
          <w:sz w:val="32"/>
          <w:szCs w:val="32"/>
          <w:lang w:val="en-US" w:eastAsia="zh-CN"/>
        </w:rPr>
        <w:t>0.5</w:t>
      </w:r>
      <w:r>
        <w:rPr>
          <w:rFonts w:hint="eastAsia" w:ascii="仿宋_GB2312" w:hAnsi="Times New Roman" w:eastAsia="仿宋_GB2312" w:cs="宋体"/>
          <w:sz w:val="32"/>
          <w:szCs w:val="32"/>
        </w:rPr>
        <w:t>人月。</w:t>
      </w:r>
      <w:r>
        <w:rPr>
          <w:rFonts w:hint="eastAsia" w:ascii="仿宋_GB2312" w:hAnsi="Times New Roman" w:eastAsia="仿宋_GB2312" w:cs="宋体"/>
          <w:sz w:val="32"/>
          <w:szCs w:val="32"/>
          <w:lang w:val="en-US" w:eastAsia="zh-CN"/>
        </w:rPr>
        <w:t>全年单人统计最多为</w:t>
      </w:r>
      <w:r>
        <w:rPr>
          <w:rFonts w:hint="eastAsia" w:ascii="Times New Roman" w:hAnsi="Times New Roman" w:eastAsia="仿宋_GB2312" w:cs="Times New Roman"/>
          <w:sz w:val="32"/>
          <w:szCs w:val="32"/>
          <w:lang w:val="en-US" w:eastAsia="zh-CN"/>
        </w:rPr>
        <w:t>9</w:t>
      </w:r>
      <w:r>
        <w:rPr>
          <w:rFonts w:hint="eastAsia" w:ascii="仿宋_GB2312" w:hAnsi="Times New Roman" w:eastAsia="仿宋_GB2312" w:cs="宋体"/>
          <w:sz w:val="32"/>
          <w:szCs w:val="32"/>
          <w:lang w:val="en-US" w:eastAsia="zh-CN"/>
        </w:rPr>
        <w:t>人月。</w:t>
      </w:r>
    </w:p>
    <w:p>
      <w:pPr>
        <w:pStyle w:val="4"/>
        <w:keepNext w:val="0"/>
        <w:keepLines w:val="0"/>
        <w:pageBreakBefore w:val="0"/>
        <w:widowControl w:val="0"/>
        <w:kinsoku/>
        <w:wordWrap/>
        <w:overflowPunct/>
        <w:topLinePunct w:val="0"/>
        <w:autoSpaceDE/>
        <w:autoSpaceDN/>
        <w:bidi w:val="0"/>
        <w:adjustRightInd/>
        <w:snapToGrid/>
        <w:spacing w:line="520" w:lineRule="exact"/>
        <w:ind w:firstLine="622" w:firstLineChars="200"/>
        <w:jc w:val="left"/>
        <w:textAlignment w:val="auto"/>
        <w:outlineLvl w:val="9"/>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12</w:t>
      </w:r>
      <w:r>
        <w:rPr>
          <w:rFonts w:hint="default" w:ascii="Times New Roman" w:hAnsi="Times New Roman" w:eastAsia="仿宋_GB2312" w:cs="Times New Roman"/>
          <w:sz w:val="32"/>
          <w:szCs w:val="32"/>
          <w:lang w:val="en-US" w:eastAsia="zh-CN"/>
        </w:rPr>
        <w:t>．</w:t>
      </w:r>
      <w:r>
        <w:rPr>
          <w:rFonts w:hint="eastAsia" w:ascii="Times New Roman" w:hAnsi="Times New Roman" w:eastAsia="仿宋_GB2312" w:cs="Times New Roman"/>
          <w:sz w:val="32"/>
          <w:szCs w:val="32"/>
          <w:lang w:val="en-US" w:eastAsia="zh-CN"/>
        </w:rPr>
        <w:t>企业全部科技项目数：</w:t>
      </w:r>
      <w:r>
        <w:rPr>
          <w:rFonts w:hint="eastAsia" w:ascii="仿宋_GB2312" w:hAnsi="Times New Roman" w:eastAsia="仿宋_GB2312" w:cs="宋体"/>
          <w:sz w:val="32"/>
          <w:szCs w:val="32"/>
        </w:rPr>
        <w:t>指企业在报告年度当年立项并开展研发（制）工作、以前年份立项仍继续进行研发（制）的研究开发项目或课题，包括当年完成和年内研发工作已告失败的项目</w:t>
      </w:r>
      <w:r>
        <w:rPr>
          <w:rFonts w:hint="eastAsia" w:ascii="仿宋_GB2312" w:hAnsi="Times New Roman" w:eastAsia="仿宋_GB2312" w:cs="宋体"/>
          <w:sz w:val="32"/>
          <w:szCs w:val="32"/>
          <w:lang w:eastAsia="zh-CN"/>
        </w:rPr>
        <w:t>。</w:t>
      </w:r>
      <w:r>
        <w:rPr>
          <w:rFonts w:hint="eastAsia" w:ascii="Times New Roman" w:hAnsi="Times New Roman" w:eastAsia="仿宋_GB2312" w:cs="Times New Roman"/>
          <w:sz w:val="32"/>
          <w:szCs w:val="32"/>
          <w:lang w:val="en-US" w:eastAsia="zh-CN"/>
        </w:rPr>
        <w:t>该指标应与“企业研究开发项目情况”（107-1表）数据对应。</w:t>
      </w:r>
    </w:p>
    <w:p>
      <w:pPr>
        <w:pStyle w:val="4"/>
        <w:keepNext w:val="0"/>
        <w:keepLines w:val="0"/>
        <w:pageBreakBefore w:val="0"/>
        <w:widowControl w:val="0"/>
        <w:kinsoku/>
        <w:wordWrap/>
        <w:overflowPunct/>
        <w:topLinePunct w:val="0"/>
        <w:autoSpaceDE/>
        <w:autoSpaceDN/>
        <w:bidi w:val="0"/>
        <w:adjustRightInd/>
        <w:snapToGrid/>
        <w:spacing w:line="520" w:lineRule="exact"/>
        <w:ind w:firstLine="622" w:firstLineChars="200"/>
        <w:jc w:val="left"/>
        <w:textAlignment w:val="auto"/>
        <w:outlineLvl w:val="9"/>
        <w:rPr>
          <w:rFonts w:hint="eastAsia"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13</w:t>
      </w:r>
      <w:r>
        <w:rPr>
          <w:rFonts w:hint="default" w:ascii="Times New Roman" w:hAnsi="Times New Roman" w:eastAsia="仿宋_GB2312" w:cs="Times New Roman"/>
          <w:sz w:val="32"/>
          <w:szCs w:val="32"/>
          <w:highlight w:val="none"/>
          <w:lang w:val="en-US" w:eastAsia="zh-CN"/>
        </w:rPr>
        <w:t>．</w:t>
      </w:r>
      <w:r>
        <w:rPr>
          <w:rFonts w:hint="eastAsia" w:ascii="Times New Roman" w:hAnsi="Times New Roman" w:eastAsia="仿宋_GB2312" w:cs="Times New Roman"/>
          <w:sz w:val="32"/>
          <w:szCs w:val="32"/>
          <w:highlight w:val="none"/>
          <w:lang w:val="en-US" w:eastAsia="zh-CN"/>
        </w:rPr>
        <w:t>对外合作项目数：指企业与境内研究机构、高等院校、其他企业或单位，以及与境外机构合作开发项目数，不包括委托外单位研发项目。</w:t>
      </w:r>
    </w:p>
    <w:p>
      <w:pPr>
        <w:pStyle w:val="4"/>
        <w:keepNext w:val="0"/>
        <w:keepLines w:val="0"/>
        <w:pageBreakBefore w:val="0"/>
        <w:widowControl w:val="0"/>
        <w:kinsoku/>
        <w:wordWrap/>
        <w:overflowPunct/>
        <w:topLinePunct w:val="0"/>
        <w:autoSpaceDE/>
        <w:autoSpaceDN/>
        <w:bidi w:val="0"/>
        <w:adjustRightInd/>
        <w:snapToGrid/>
        <w:spacing w:line="520" w:lineRule="exact"/>
        <w:ind w:firstLine="622" w:firstLineChars="200"/>
        <w:jc w:val="left"/>
        <w:textAlignment w:val="auto"/>
        <w:outlineLvl w:val="9"/>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14</w:t>
      </w:r>
      <w:r>
        <w:rPr>
          <w:rFonts w:hint="default" w:ascii="Times New Roman" w:hAnsi="Times New Roman" w:eastAsia="仿宋_GB2312" w:cs="Times New Roman"/>
          <w:sz w:val="32"/>
          <w:szCs w:val="32"/>
          <w:lang w:val="en-US" w:eastAsia="zh-CN"/>
        </w:rPr>
        <w:t>．</w:t>
      </w:r>
      <w:r>
        <w:rPr>
          <w:rFonts w:hint="eastAsia" w:ascii="Times New Roman" w:hAnsi="Times New Roman" w:eastAsia="仿宋_GB2312" w:cs="Times New Roman"/>
          <w:sz w:val="32"/>
          <w:szCs w:val="32"/>
          <w:lang w:val="en-US" w:eastAsia="zh-CN"/>
        </w:rPr>
        <w:t>承担政府部门科技项目数：指企业在报告年度承担的国家发改委、工信部、科技部等国家部委批准立项并开展研发（制）工作，或承担的天津市各类科技计划项目。</w:t>
      </w:r>
    </w:p>
    <w:p>
      <w:pPr>
        <w:pStyle w:val="4"/>
        <w:keepNext w:val="0"/>
        <w:keepLines w:val="0"/>
        <w:pageBreakBefore w:val="0"/>
        <w:widowControl w:val="0"/>
        <w:kinsoku/>
        <w:wordWrap/>
        <w:overflowPunct/>
        <w:topLinePunct w:val="0"/>
        <w:autoSpaceDE/>
        <w:autoSpaceDN/>
        <w:bidi w:val="0"/>
        <w:adjustRightInd/>
        <w:snapToGrid/>
        <w:spacing w:line="520" w:lineRule="exact"/>
        <w:ind w:firstLine="622" w:firstLineChars="200"/>
        <w:jc w:val="left"/>
        <w:textAlignment w:val="auto"/>
        <w:outlineLvl w:val="9"/>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15</w:t>
      </w:r>
      <w:r>
        <w:rPr>
          <w:rFonts w:hint="default" w:ascii="Times New Roman" w:hAnsi="Times New Roman" w:eastAsia="仿宋_GB2312" w:cs="Times New Roman"/>
          <w:sz w:val="32"/>
          <w:szCs w:val="32"/>
          <w:lang w:val="en-US" w:eastAsia="zh-CN"/>
        </w:rPr>
        <w:t>．</w:t>
      </w:r>
      <w:r>
        <w:rPr>
          <w:rFonts w:hint="eastAsia" w:ascii="Times New Roman" w:hAnsi="Times New Roman" w:eastAsia="仿宋_GB2312" w:cs="Times New Roman"/>
          <w:sz w:val="32"/>
          <w:szCs w:val="32"/>
          <w:lang w:val="en-US" w:eastAsia="zh-CN"/>
        </w:rPr>
        <w:t>拥有或参与建设的国家、省级研发平台数：指企业作为项目法人承担或参与建设的国家或省级有关部门归口管理且已经获得批复的科技类、研究开发类平台数。只限于工程实验室、工程研究中心、工程技术研究中心、重点实验室、国家地方联合工程实验室、国家地方联合工程研究中心、制造业创新中心、产业创新中心、技术创新中心等9类平台。</w:t>
      </w:r>
    </w:p>
    <w:p>
      <w:pPr>
        <w:pStyle w:val="4"/>
        <w:keepNext w:val="0"/>
        <w:keepLines w:val="0"/>
        <w:pageBreakBefore w:val="0"/>
        <w:widowControl w:val="0"/>
        <w:kinsoku/>
        <w:wordWrap/>
        <w:overflowPunct/>
        <w:topLinePunct w:val="0"/>
        <w:autoSpaceDE/>
        <w:autoSpaceDN/>
        <w:bidi w:val="0"/>
        <w:adjustRightInd/>
        <w:snapToGrid/>
        <w:spacing w:line="520" w:lineRule="exact"/>
        <w:ind w:firstLine="622" w:firstLineChars="200"/>
        <w:jc w:val="left"/>
        <w:textAlignment w:val="auto"/>
        <w:outlineLvl w:val="9"/>
        <w:rPr>
          <w:rFonts w:hint="eastAsia" w:ascii="仿宋_GB2312" w:hAnsi="Times New Roman" w:eastAsia="仿宋_GB2312" w:cs="宋体"/>
          <w:sz w:val="32"/>
          <w:szCs w:val="32"/>
        </w:rPr>
      </w:pPr>
      <w:r>
        <w:rPr>
          <w:rFonts w:hint="eastAsia" w:ascii="Times New Roman" w:hAnsi="Times New Roman" w:eastAsia="仿宋_GB2312" w:cs="Times New Roman"/>
          <w:sz w:val="32"/>
          <w:szCs w:val="32"/>
          <w:lang w:val="en-US" w:eastAsia="zh-CN"/>
        </w:rPr>
        <w:t>16</w:t>
      </w:r>
      <w:r>
        <w:rPr>
          <w:rFonts w:hint="default" w:ascii="Times New Roman" w:hAnsi="Times New Roman" w:eastAsia="仿宋_GB2312" w:cs="Times New Roman"/>
          <w:sz w:val="32"/>
          <w:szCs w:val="32"/>
          <w:lang w:val="en-US" w:eastAsia="zh-CN"/>
        </w:rPr>
        <w:t>．</w:t>
      </w:r>
      <w:r>
        <w:rPr>
          <w:rFonts w:hint="eastAsia" w:ascii="仿宋_GB2312" w:hAnsi="Times New Roman" w:eastAsia="仿宋_GB2312" w:cs="宋体"/>
          <w:sz w:val="32"/>
          <w:szCs w:val="32"/>
        </w:rPr>
        <w:t>通过国家（国际组织）认证的实验室和检测机构数：指通过中华人民共和国有关国家部门、国际组织企业认证认可的、仍在有效期内的实验室、检验检测机构数。</w:t>
      </w:r>
    </w:p>
    <w:p>
      <w:pPr>
        <w:pStyle w:val="4"/>
        <w:keepNext w:val="0"/>
        <w:keepLines w:val="0"/>
        <w:pageBreakBefore w:val="0"/>
        <w:widowControl w:val="0"/>
        <w:kinsoku/>
        <w:wordWrap/>
        <w:overflowPunct/>
        <w:topLinePunct w:val="0"/>
        <w:autoSpaceDE/>
        <w:autoSpaceDN/>
        <w:bidi w:val="0"/>
        <w:adjustRightInd/>
        <w:snapToGrid/>
        <w:spacing w:line="520" w:lineRule="exact"/>
        <w:ind w:firstLine="622" w:firstLineChars="200"/>
        <w:jc w:val="left"/>
        <w:textAlignment w:val="auto"/>
        <w:outlineLvl w:val="9"/>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17</w:t>
      </w:r>
      <w:r>
        <w:rPr>
          <w:rFonts w:hint="default" w:ascii="Times New Roman" w:hAnsi="Times New Roman" w:eastAsia="仿宋_GB2312" w:cs="Times New Roman"/>
          <w:sz w:val="32"/>
          <w:szCs w:val="32"/>
          <w:lang w:val="en-US" w:eastAsia="zh-CN"/>
        </w:rPr>
        <w:t>．</w:t>
      </w:r>
      <w:r>
        <w:rPr>
          <w:rFonts w:hint="eastAsia" w:ascii="仿宋_GB2312" w:hAnsi="Times New Roman" w:eastAsia="仿宋_GB2312" w:cs="宋体"/>
          <w:sz w:val="32"/>
          <w:szCs w:val="32"/>
          <w:lang w:val="en-US" w:eastAsia="zh-CN"/>
        </w:rPr>
        <w:t>技术中心拥有的研发仪器设备原值：</w:t>
      </w:r>
      <w:bookmarkStart w:id="0" w:name="OLE_LINK17"/>
      <w:bookmarkStart w:id="1" w:name="OLE_LINK18"/>
      <w:r>
        <w:rPr>
          <w:rFonts w:hint="eastAsia" w:ascii="仿宋_GB2312" w:hAnsi="Times New Roman" w:eastAsia="仿宋_GB2312" w:cs="宋体"/>
          <w:sz w:val="32"/>
          <w:szCs w:val="32"/>
        </w:rPr>
        <w:t>指报告年度末</w:t>
      </w:r>
      <w:bookmarkEnd w:id="0"/>
      <w:bookmarkEnd w:id="1"/>
      <w:r>
        <w:rPr>
          <w:rFonts w:hint="eastAsia" w:ascii="仿宋_GB2312" w:hAnsi="Times New Roman" w:eastAsia="仿宋_GB2312" w:cs="宋体"/>
          <w:sz w:val="32"/>
          <w:szCs w:val="32"/>
          <w:lang w:val="en-US" w:eastAsia="zh-CN"/>
        </w:rPr>
        <w:t>由技术中心使用并</w:t>
      </w:r>
      <w:r>
        <w:rPr>
          <w:rFonts w:hint="eastAsia" w:ascii="仿宋_GB2312" w:hAnsi="Times New Roman" w:eastAsia="仿宋_GB2312" w:cs="宋体"/>
          <w:sz w:val="32"/>
          <w:szCs w:val="32"/>
        </w:rPr>
        <w:t>用于研发的固定资产中的仪器和设备原价。其中，设备包括用于研发活动的各类机器和设备、试验测量仪器、运输工具、工装工具等。</w:t>
      </w:r>
      <w:r>
        <w:rPr>
          <w:rFonts w:hint="eastAsia" w:ascii="Times New Roman" w:hAnsi="Times New Roman" w:eastAsia="仿宋_GB2312" w:cs="Times New Roman"/>
          <w:sz w:val="32"/>
          <w:szCs w:val="32"/>
          <w:lang w:val="en-US" w:eastAsia="zh-CN"/>
        </w:rPr>
        <w:t>该指标应与“企业研究开发活动及相关情况”（107-2表）数据对应。</w:t>
      </w:r>
    </w:p>
    <w:p>
      <w:pPr>
        <w:pStyle w:val="4"/>
        <w:keepNext w:val="0"/>
        <w:keepLines w:val="0"/>
        <w:pageBreakBefore w:val="0"/>
        <w:widowControl w:val="0"/>
        <w:kinsoku/>
        <w:wordWrap/>
        <w:overflowPunct/>
        <w:topLinePunct w:val="0"/>
        <w:autoSpaceDE/>
        <w:autoSpaceDN/>
        <w:bidi w:val="0"/>
        <w:adjustRightInd/>
        <w:snapToGrid/>
        <w:spacing w:line="520" w:lineRule="exact"/>
        <w:ind w:firstLine="622" w:firstLineChars="200"/>
        <w:jc w:val="left"/>
        <w:textAlignment w:val="auto"/>
        <w:outlineLvl w:val="9"/>
        <w:rPr>
          <w:rFonts w:hint="eastAsia" w:ascii="仿宋_GB2312" w:hAnsi="Times New Roman" w:eastAsia="仿宋_GB2312" w:cs="宋体"/>
          <w:sz w:val="32"/>
          <w:szCs w:val="32"/>
          <w:lang w:val="en-US" w:eastAsia="zh-CN"/>
        </w:rPr>
      </w:pPr>
      <w:r>
        <w:rPr>
          <w:rFonts w:hint="eastAsia" w:ascii="Times New Roman" w:hAnsi="Times New Roman" w:eastAsia="仿宋_GB2312" w:cs="Times New Roman"/>
          <w:sz w:val="32"/>
          <w:szCs w:val="32"/>
          <w:lang w:val="en-US" w:eastAsia="zh-CN"/>
        </w:rPr>
        <w:t>18</w:t>
      </w:r>
      <w:r>
        <w:rPr>
          <w:rFonts w:hint="default" w:ascii="Times New Roman" w:hAnsi="Times New Roman" w:eastAsia="仿宋_GB2312" w:cs="Times New Roman"/>
          <w:sz w:val="32"/>
          <w:szCs w:val="32"/>
          <w:lang w:val="en-US" w:eastAsia="zh-CN"/>
        </w:rPr>
        <w:t>．</w:t>
      </w:r>
      <w:r>
        <w:rPr>
          <w:rFonts w:hint="eastAsia" w:ascii="仿宋_GB2312" w:hAnsi="Times New Roman" w:eastAsia="仿宋_GB2312" w:cs="宋体"/>
          <w:sz w:val="32"/>
          <w:szCs w:val="32"/>
          <w:lang w:val="en-US" w:eastAsia="zh-CN"/>
        </w:rPr>
        <w:t>报告年度被受理的专利申请数：指报告年度内企业向专利行政部门提出专利申请并被受的专利件数。</w:t>
      </w:r>
    </w:p>
    <w:p>
      <w:pPr>
        <w:pStyle w:val="4"/>
        <w:keepNext w:val="0"/>
        <w:keepLines w:val="0"/>
        <w:pageBreakBefore w:val="0"/>
        <w:widowControl w:val="0"/>
        <w:kinsoku/>
        <w:wordWrap/>
        <w:overflowPunct/>
        <w:topLinePunct w:val="0"/>
        <w:autoSpaceDE/>
        <w:autoSpaceDN/>
        <w:bidi w:val="0"/>
        <w:adjustRightInd/>
        <w:snapToGrid/>
        <w:spacing w:line="520" w:lineRule="exact"/>
        <w:ind w:firstLine="622" w:firstLineChars="200"/>
        <w:jc w:val="left"/>
        <w:textAlignment w:val="auto"/>
        <w:outlineLvl w:val="9"/>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19</w:t>
      </w:r>
      <w:r>
        <w:rPr>
          <w:rFonts w:hint="default" w:ascii="Times New Roman" w:hAnsi="Times New Roman" w:eastAsia="仿宋_GB2312" w:cs="Times New Roman"/>
          <w:sz w:val="32"/>
          <w:szCs w:val="32"/>
          <w:lang w:val="en-US" w:eastAsia="zh-CN"/>
        </w:rPr>
        <w:t>．PCT</w:t>
      </w:r>
      <w:r>
        <w:rPr>
          <w:rFonts w:hint="eastAsia" w:ascii="Times New Roman" w:hAnsi="Times New Roman" w:eastAsia="仿宋_GB2312" w:cs="Times New Roman"/>
          <w:sz w:val="32"/>
          <w:szCs w:val="32"/>
          <w:lang w:val="en-US" w:eastAsia="zh-CN"/>
        </w:rPr>
        <w:t>专利：是依据《专利合作条约》提交的由</w:t>
      </w:r>
      <w:r>
        <w:rPr>
          <w:rFonts w:hint="default" w:ascii="Times New Roman" w:hAnsi="Times New Roman" w:eastAsia="仿宋_GB2312" w:cs="Times New Roman"/>
          <w:sz w:val="32"/>
          <w:szCs w:val="32"/>
          <w:lang w:val="en-US" w:eastAsia="zh-CN"/>
        </w:rPr>
        <w:fldChar w:fldCharType="begin"/>
      </w:r>
      <w:r>
        <w:rPr>
          <w:rFonts w:hint="default" w:ascii="Times New Roman" w:hAnsi="Times New Roman" w:eastAsia="仿宋_GB2312" w:cs="Times New Roman"/>
          <w:sz w:val="32"/>
          <w:szCs w:val="32"/>
          <w:lang w:val="en-US" w:eastAsia="zh-CN"/>
        </w:rPr>
        <w:instrText xml:space="preserve"> HYPERLINK "https://baike.baidu.com/item/%E4%B8%96%E7%95%8C%E7%9F%A5%E8%AF%86%E4%BA%A7%E6%9D%83%E7%BB%84%E7%BB%87" \t "https://baike.baidu.com/item/PCT%E4%B8%93%E5%88%A9%E7%94%B3%E8%AF%B7/_blank" </w:instrText>
      </w:r>
      <w:r>
        <w:rPr>
          <w:rFonts w:hint="default" w:ascii="Times New Roman" w:hAnsi="Times New Roman" w:eastAsia="仿宋_GB2312" w:cs="Times New Roman"/>
          <w:sz w:val="32"/>
          <w:szCs w:val="32"/>
          <w:lang w:val="en-US" w:eastAsia="zh-CN"/>
        </w:rPr>
        <w:fldChar w:fldCharType="separate"/>
      </w:r>
      <w:r>
        <w:rPr>
          <w:rFonts w:hint="default" w:ascii="Times New Roman" w:hAnsi="Times New Roman" w:eastAsia="仿宋_GB2312" w:cs="Times New Roman"/>
          <w:sz w:val="32"/>
          <w:szCs w:val="32"/>
          <w:lang w:val="en-US" w:eastAsia="zh-CN"/>
        </w:rPr>
        <w:t>世界知识产权组织</w:t>
      </w:r>
      <w:r>
        <w:rPr>
          <w:rFonts w:hint="default" w:ascii="Times New Roman" w:hAnsi="Times New Roman" w:eastAsia="仿宋_GB2312" w:cs="Times New Roman"/>
          <w:sz w:val="32"/>
          <w:szCs w:val="32"/>
          <w:lang w:val="en-US" w:eastAsia="zh-CN"/>
        </w:rPr>
        <w:fldChar w:fldCharType="end"/>
      </w:r>
      <w:r>
        <w:rPr>
          <w:rFonts w:hint="default" w:ascii="Times New Roman" w:hAnsi="Times New Roman" w:eastAsia="仿宋_GB2312" w:cs="Times New Roman"/>
          <w:sz w:val="32"/>
          <w:szCs w:val="32"/>
          <w:lang w:val="en-US" w:eastAsia="zh-CN"/>
        </w:rPr>
        <w:t>的国际局进行国际公开，并由国际检索单位进行国际检索</w:t>
      </w:r>
      <w:r>
        <w:rPr>
          <w:rFonts w:hint="eastAsia" w:ascii="Times New Roman" w:hAnsi="Times New Roman" w:eastAsia="仿宋_GB2312" w:cs="Times New Roman"/>
          <w:sz w:val="32"/>
          <w:szCs w:val="32"/>
          <w:lang w:val="en-US" w:eastAsia="zh-CN"/>
        </w:rPr>
        <w:t>的专利。</w:t>
      </w:r>
    </w:p>
    <w:p>
      <w:pPr>
        <w:pStyle w:val="4"/>
        <w:keepNext w:val="0"/>
        <w:keepLines w:val="0"/>
        <w:pageBreakBefore w:val="0"/>
        <w:widowControl w:val="0"/>
        <w:kinsoku/>
        <w:wordWrap/>
        <w:overflowPunct/>
        <w:topLinePunct w:val="0"/>
        <w:autoSpaceDE/>
        <w:autoSpaceDN/>
        <w:bidi w:val="0"/>
        <w:adjustRightInd/>
        <w:snapToGrid/>
        <w:spacing w:line="520" w:lineRule="exact"/>
        <w:ind w:firstLine="622" w:firstLineChars="200"/>
        <w:jc w:val="left"/>
        <w:textAlignment w:val="auto"/>
        <w:outlineLvl w:val="9"/>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20</w:t>
      </w:r>
      <w:r>
        <w:rPr>
          <w:rFonts w:hint="default" w:ascii="Times New Roman" w:hAnsi="Times New Roman" w:eastAsia="仿宋_GB2312" w:cs="Times New Roman"/>
          <w:sz w:val="32"/>
          <w:szCs w:val="32"/>
          <w:lang w:val="en-US" w:eastAsia="zh-CN"/>
        </w:rPr>
        <w:t>．</w:t>
      </w:r>
      <w:r>
        <w:rPr>
          <w:rFonts w:hint="eastAsia" w:ascii="Times New Roman" w:hAnsi="Times New Roman" w:eastAsia="仿宋_GB2312" w:cs="Times New Roman"/>
          <w:sz w:val="32"/>
          <w:szCs w:val="32"/>
          <w:lang w:val="en-US" w:eastAsia="zh-CN"/>
        </w:rPr>
        <w:t>拥有的有效发明专利数：指</w:t>
      </w:r>
      <w:bookmarkStart w:id="2" w:name="OLE_LINK12"/>
      <w:r>
        <w:rPr>
          <w:rFonts w:hint="eastAsia" w:ascii="Times New Roman" w:hAnsi="Times New Roman" w:eastAsia="仿宋_GB2312" w:cs="Times New Roman"/>
          <w:sz w:val="32"/>
          <w:szCs w:val="32"/>
          <w:lang w:val="en-US" w:eastAsia="zh-CN"/>
        </w:rPr>
        <w:t>报告年度末</w:t>
      </w:r>
      <w:bookmarkEnd w:id="2"/>
      <w:r>
        <w:rPr>
          <w:rFonts w:hint="eastAsia" w:ascii="Times New Roman" w:hAnsi="Times New Roman" w:eastAsia="仿宋_GB2312" w:cs="Times New Roman"/>
          <w:sz w:val="32"/>
          <w:szCs w:val="32"/>
          <w:lang w:val="en-US" w:eastAsia="zh-CN"/>
        </w:rPr>
        <w:t>企业作为专利权人拥有的、经国内外知识产权行政部门授予且在有效期内的发明专利件数。</w:t>
      </w:r>
    </w:p>
    <w:p>
      <w:pPr>
        <w:pStyle w:val="4"/>
        <w:keepNext w:val="0"/>
        <w:keepLines w:val="0"/>
        <w:pageBreakBefore w:val="0"/>
        <w:widowControl w:val="0"/>
        <w:kinsoku/>
        <w:wordWrap/>
        <w:overflowPunct/>
        <w:topLinePunct w:val="0"/>
        <w:autoSpaceDE/>
        <w:autoSpaceDN/>
        <w:bidi w:val="0"/>
        <w:adjustRightInd/>
        <w:snapToGrid/>
        <w:spacing w:line="520" w:lineRule="exact"/>
        <w:ind w:firstLine="622" w:firstLineChars="200"/>
        <w:jc w:val="left"/>
        <w:textAlignment w:val="auto"/>
        <w:outlineLvl w:val="9"/>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21</w:t>
      </w:r>
      <w:r>
        <w:rPr>
          <w:rFonts w:hint="default" w:ascii="Times New Roman" w:hAnsi="Times New Roman" w:eastAsia="仿宋_GB2312" w:cs="Times New Roman"/>
          <w:sz w:val="32"/>
          <w:szCs w:val="32"/>
          <w:lang w:val="en-US" w:eastAsia="zh-CN"/>
        </w:rPr>
        <w:t>．</w:t>
      </w:r>
      <w:r>
        <w:rPr>
          <w:rFonts w:hint="eastAsia" w:ascii="Times New Roman" w:hAnsi="Times New Roman" w:eastAsia="仿宋_GB2312" w:cs="Times New Roman"/>
          <w:sz w:val="32"/>
          <w:szCs w:val="32"/>
          <w:lang w:val="en-US" w:eastAsia="zh-CN"/>
        </w:rPr>
        <w:t>对外转让或许可的专利数：指报告年度末企业转让或授权许可给其他企业或机构使用的专利件数。</w:t>
      </w:r>
    </w:p>
    <w:p>
      <w:pPr>
        <w:pStyle w:val="4"/>
        <w:keepNext w:val="0"/>
        <w:keepLines w:val="0"/>
        <w:pageBreakBefore w:val="0"/>
        <w:widowControl w:val="0"/>
        <w:kinsoku/>
        <w:wordWrap/>
        <w:overflowPunct/>
        <w:topLinePunct w:val="0"/>
        <w:autoSpaceDE/>
        <w:autoSpaceDN/>
        <w:bidi w:val="0"/>
        <w:adjustRightInd/>
        <w:snapToGrid/>
        <w:spacing w:line="520" w:lineRule="exact"/>
        <w:ind w:firstLine="622" w:firstLineChars="200"/>
        <w:jc w:val="left"/>
        <w:textAlignment w:val="auto"/>
        <w:outlineLvl w:val="9"/>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22</w:t>
      </w:r>
      <w:r>
        <w:rPr>
          <w:rFonts w:hint="default" w:ascii="Times New Roman" w:hAnsi="Times New Roman" w:eastAsia="仿宋_GB2312" w:cs="Times New Roman"/>
          <w:sz w:val="32"/>
          <w:szCs w:val="32"/>
          <w:lang w:val="en-US" w:eastAsia="zh-CN"/>
        </w:rPr>
        <w:t>．</w:t>
      </w:r>
      <w:r>
        <w:rPr>
          <w:rFonts w:hint="eastAsia" w:ascii="Times New Roman" w:hAnsi="Times New Roman" w:eastAsia="仿宋_GB2312" w:cs="Times New Roman"/>
          <w:sz w:val="32"/>
          <w:szCs w:val="32"/>
          <w:lang w:val="en-US" w:eastAsia="zh-CN"/>
        </w:rPr>
        <w:t>最近三年主持和参加制定的国际、国家和行业标准数：指企业在报告年度、报告年度前一年、报告年度前二年主持或参加制定，目前仍有效执行的国际、国家、行业标准的数量，其中建筑行业包括国家级工法数。</w:t>
      </w:r>
    </w:p>
    <w:p>
      <w:pPr>
        <w:pStyle w:val="4"/>
        <w:keepNext w:val="0"/>
        <w:keepLines w:val="0"/>
        <w:pageBreakBefore w:val="0"/>
        <w:widowControl w:val="0"/>
        <w:kinsoku/>
        <w:wordWrap/>
        <w:overflowPunct/>
        <w:topLinePunct w:val="0"/>
        <w:autoSpaceDE/>
        <w:autoSpaceDN/>
        <w:bidi w:val="0"/>
        <w:adjustRightInd/>
        <w:snapToGrid/>
        <w:spacing w:line="520" w:lineRule="exact"/>
        <w:ind w:firstLine="622" w:firstLineChars="200"/>
        <w:jc w:val="left"/>
        <w:textAlignment w:val="auto"/>
        <w:outlineLvl w:val="9"/>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23</w:t>
      </w:r>
      <w:r>
        <w:rPr>
          <w:rFonts w:hint="default" w:ascii="Times New Roman" w:hAnsi="Times New Roman" w:eastAsia="仿宋_GB2312" w:cs="Times New Roman"/>
          <w:sz w:val="32"/>
          <w:szCs w:val="32"/>
          <w:lang w:val="en-US" w:eastAsia="zh-CN"/>
        </w:rPr>
        <w:t>．</w:t>
      </w:r>
      <w:r>
        <w:rPr>
          <w:rFonts w:hint="eastAsia" w:ascii="Times New Roman" w:hAnsi="Times New Roman" w:eastAsia="仿宋_GB2312" w:cs="Times New Roman"/>
          <w:sz w:val="32"/>
          <w:szCs w:val="32"/>
          <w:lang w:val="en-US" w:eastAsia="zh-CN"/>
        </w:rPr>
        <w:t>新产品销售收入：对于制造业企业，新产品销售收入指报告年度内企业销售采用新技术原理、新设计构思研制、生产的全新产品，或在结构、材质、工艺等某一方面比原有产品有明显改进，从而显著提高了产品性能或扩大了使用功能的产品实现的销售收入。新产品既包括经政府有关部门认定并在有效期内的新产品，也包括企业自行研制开发，未经政府有关部门认定，从投产之日起一年之内的新产品。对于建筑业企业，新产品销售收入指报告年度内企业采用新技术、新工艺、新结构、新材料等实现的营业收入。对于服务业企业，新产品销售收入指报告年度内企业通过提供在服务内容、服务方式、服务传递系统、服务技术手段等方面全新的、或者作出明显改进的服务实现的营业收入。该指标应与“企业研究开发活动及相关情况”（107-2表）数据对应。</w:t>
      </w:r>
    </w:p>
    <w:p>
      <w:pPr>
        <w:pStyle w:val="4"/>
        <w:keepNext w:val="0"/>
        <w:keepLines w:val="0"/>
        <w:pageBreakBefore w:val="0"/>
        <w:widowControl w:val="0"/>
        <w:kinsoku/>
        <w:wordWrap/>
        <w:overflowPunct/>
        <w:topLinePunct w:val="0"/>
        <w:autoSpaceDE/>
        <w:autoSpaceDN/>
        <w:bidi w:val="0"/>
        <w:adjustRightInd/>
        <w:snapToGrid/>
        <w:spacing w:line="520" w:lineRule="exact"/>
        <w:ind w:firstLine="622" w:firstLineChars="200"/>
        <w:jc w:val="left"/>
        <w:textAlignment w:val="auto"/>
        <w:outlineLvl w:val="9"/>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24</w:t>
      </w:r>
      <w:r>
        <w:rPr>
          <w:rFonts w:hint="default" w:ascii="Times New Roman" w:hAnsi="Times New Roman" w:eastAsia="仿宋_GB2312" w:cs="Times New Roman"/>
          <w:sz w:val="32"/>
          <w:szCs w:val="32"/>
          <w:lang w:val="en-US" w:eastAsia="zh-CN"/>
        </w:rPr>
        <w:t>．</w:t>
      </w:r>
      <w:r>
        <w:rPr>
          <w:rFonts w:hint="eastAsia" w:ascii="Times New Roman" w:hAnsi="Times New Roman" w:eastAsia="仿宋_GB2312" w:cs="Times New Roman"/>
          <w:sz w:val="32"/>
          <w:szCs w:val="32"/>
          <w:lang w:val="en-US" w:eastAsia="zh-CN"/>
        </w:rPr>
        <w:t>新产品销售利润：指报告年度内企业通过销售新产品、提供新服务等实现的销售（营业）利润。</w:t>
      </w:r>
    </w:p>
    <w:p>
      <w:pPr>
        <w:pStyle w:val="4"/>
        <w:keepNext w:val="0"/>
        <w:keepLines w:val="0"/>
        <w:pageBreakBefore w:val="0"/>
        <w:widowControl w:val="0"/>
        <w:kinsoku/>
        <w:wordWrap/>
        <w:overflowPunct/>
        <w:topLinePunct w:val="0"/>
        <w:autoSpaceDE/>
        <w:autoSpaceDN/>
        <w:bidi w:val="0"/>
        <w:adjustRightInd/>
        <w:snapToGrid/>
        <w:spacing w:line="520" w:lineRule="exact"/>
        <w:ind w:firstLine="622" w:firstLineChars="200"/>
        <w:jc w:val="left"/>
        <w:textAlignment w:val="auto"/>
        <w:outlineLvl w:val="9"/>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25</w:t>
      </w:r>
      <w:r>
        <w:rPr>
          <w:rFonts w:hint="default" w:ascii="Times New Roman" w:hAnsi="Times New Roman" w:eastAsia="仿宋_GB2312" w:cs="Times New Roman"/>
          <w:sz w:val="32"/>
          <w:szCs w:val="32"/>
          <w:lang w:val="en-US" w:eastAsia="zh-CN"/>
        </w:rPr>
        <w:t>．</w:t>
      </w:r>
      <w:r>
        <w:rPr>
          <w:rFonts w:hint="eastAsia" w:ascii="Times New Roman" w:hAnsi="Times New Roman" w:eastAsia="仿宋_GB2312" w:cs="Times New Roman"/>
          <w:sz w:val="32"/>
          <w:szCs w:val="32"/>
          <w:lang w:val="en-US" w:eastAsia="zh-CN"/>
        </w:rPr>
        <w:t>企业加计扣除减免税额：指报告年度企业按有关政策和税法规定税前加计扣除的研究开发活动费用所得税，按当年税务部门实际减免的税额填报。对尚未得到当年减免税额的企业，按上年实际减免税额填报。该指标应与“企业研究开发活动及相关情况”（107-2表）数据对应。</w:t>
      </w:r>
    </w:p>
    <w:p>
      <w:pPr>
        <w:pStyle w:val="4"/>
        <w:keepNext w:val="0"/>
        <w:keepLines w:val="0"/>
        <w:pageBreakBefore w:val="0"/>
        <w:widowControl w:val="0"/>
        <w:kinsoku/>
        <w:wordWrap/>
        <w:overflowPunct/>
        <w:topLinePunct w:val="0"/>
        <w:autoSpaceDE/>
        <w:autoSpaceDN/>
        <w:bidi w:val="0"/>
        <w:adjustRightInd/>
        <w:snapToGrid/>
        <w:spacing w:line="520" w:lineRule="exact"/>
        <w:ind w:firstLine="622" w:firstLineChars="200"/>
        <w:jc w:val="left"/>
        <w:textAlignment w:val="auto"/>
        <w:outlineLvl w:val="9"/>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26</w:t>
      </w:r>
      <w:r>
        <w:rPr>
          <w:rFonts w:hint="default" w:ascii="Times New Roman" w:hAnsi="Times New Roman" w:eastAsia="仿宋_GB2312" w:cs="Times New Roman"/>
          <w:sz w:val="32"/>
          <w:szCs w:val="32"/>
          <w:lang w:val="en-US" w:eastAsia="zh-CN"/>
        </w:rPr>
        <w:t>．</w:t>
      </w:r>
      <w:r>
        <w:rPr>
          <w:rFonts w:hint="eastAsia" w:ascii="Times New Roman" w:hAnsi="Times New Roman" w:eastAsia="仿宋_GB2312" w:cs="Times New Roman"/>
          <w:sz w:val="32"/>
          <w:szCs w:val="32"/>
          <w:lang w:val="en-US" w:eastAsia="zh-CN"/>
        </w:rPr>
        <w:t>近两年获得天津市质量奖数量：指报告年度及报告年度前一年，企业获得的天津市人民政府颁发的天津市质量奖及天津市质量奖提名奖。</w:t>
      </w:r>
    </w:p>
    <w:p>
      <w:pPr>
        <w:pStyle w:val="4"/>
        <w:keepNext w:val="0"/>
        <w:keepLines w:val="0"/>
        <w:pageBreakBefore w:val="0"/>
        <w:widowControl w:val="0"/>
        <w:kinsoku/>
        <w:wordWrap/>
        <w:overflowPunct/>
        <w:topLinePunct w:val="0"/>
        <w:autoSpaceDE/>
        <w:autoSpaceDN/>
        <w:bidi w:val="0"/>
        <w:adjustRightInd/>
        <w:snapToGrid/>
        <w:spacing w:line="520" w:lineRule="exact"/>
        <w:ind w:firstLine="622" w:firstLineChars="200"/>
        <w:jc w:val="left"/>
        <w:textAlignment w:val="auto"/>
        <w:outlineLvl w:val="9"/>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27</w:t>
      </w:r>
      <w:r>
        <w:rPr>
          <w:rFonts w:hint="default" w:ascii="Times New Roman" w:hAnsi="Times New Roman" w:eastAsia="仿宋_GB2312" w:cs="Times New Roman"/>
          <w:sz w:val="32"/>
          <w:szCs w:val="32"/>
          <w:lang w:val="en-US" w:eastAsia="zh-CN"/>
        </w:rPr>
        <w:t>．</w:t>
      </w:r>
      <w:r>
        <w:rPr>
          <w:rFonts w:hint="eastAsia" w:ascii="Times New Roman" w:hAnsi="Times New Roman" w:eastAsia="仿宋_GB2312" w:cs="Times New Roman"/>
          <w:sz w:val="32"/>
          <w:szCs w:val="32"/>
          <w:lang w:val="en-US" w:eastAsia="zh-CN"/>
        </w:rPr>
        <w:t>近两年获得天津市自然科学、技术发明、科技进步奖数量：指报告年度及报告年度前一年，企业获得的天津市人民政府颁发的“自然科学奖”、“技术发明奖”、“科技进步奖”。</w:t>
      </w:r>
    </w:p>
    <w:p>
      <w:pPr>
        <w:pStyle w:val="4"/>
        <w:keepNext w:val="0"/>
        <w:keepLines w:val="0"/>
        <w:pageBreakBefore w:val="0"/>
        <w:widowControl w:val="0"/>
        <w:kinsoku/>
        <w:wordWrap/>
        <w:overflowPunct/>
        <w:topLinePunct w:val="0"/>
        <w:autoSpaceDE/>
        <w:autoSpaceDN/>
        <w:bidi w:val="0"/>
        <w:adjustRightInd/>
        <w:snapToGrid/>
        <w:spacing w:line="520" w:lineRule="exact"/>
        <w:ind w:firstLine="622" w:firstLineChars="200"/>
        <w:jc w:val="left"/>
        <w:textAlignment w:val="auto"/>
        <w:outlineLvl w:val="9"/>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28</w:t>
      </w:r>
      <w:r>
        <w:rPr>
          <w:rFonts w:hint="default" w:ascii="Times New Roman" w:hAnsi="Times New Roman" w:eastAsia="仿宋_GB2312" w:cs="Times New Roman"/>
          <w:sz w:val="32"/>
          <w:szCs w:val="32"/>
          <w:lang w:val="en-US" w:eastAsia="zh-CN"/>
        </w:rPr>
        <w:t>．</w:t>
      </w:r>
      <w:r>
        <w:rPr>
          <w:rFonts w:hint="eastAsia" w:ascii="Times New Roman" w:hAnsi="Times New Roman" w:eastAsia="仿宋_GB2312" w:cs="Times New Roman"/>
          <w:sz w:val="32"/>
          <w:szCs w:val="32"/>
          <w:lang w:val="en-US" w:eastAsia="zh-CN"/>
        </w:rPr>
        <w:t>近两年获得中国创新方法大赛奖励数量：指报告年度及报告年度前一年，企业获得的中国科协、科技部组织开展的中国创新方法大赛奖励数量。</w:t>
      </w:r>
    </w:p>
    <w:p>
      <w:pPr>
        <w:pStyle w:val="4"/>
        <w:keepNext w:val="0"/>
        <w:keepLines w:val="0"/>
        <w:pageBreakBefore w:val="0"/>
        <w:widowControl w:val="0"/>
        <w:kinsoku/>
        <w:wordWrap/>
        <w:overflowPunct/>
        <w:topLinePunct w:val="0"/>
        <w:autoSpaceDE/>
        <w:autoSpaceDN/>
        <w:bidi w:val="0"/>
        <w:adjustRightInd/>
        <w:snapToGrid/>
        <w:spacing w:line="520" w:lineRule="exact"/>
        <w:ind w:firstLine="622" w:firstLineChars="200"/>
        <w:jc w:val="left"/>
        <w:textAlignment w:val="auto"/>
        <w:outlineLvl w:val="9"/>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29</w:t>
      </w:r>
      <w:r>
        <w:rPr>
          <w:rFonts w:hint="default" w:ascii="Times New Roman" w:hAnsi="Times New Roman" w:eastAsia="仿宋_GB2312" w:cs="Times New Roman"/>
          <w:sz w:val="32"/>
          <w:szCs w:val="32"/>
          <w:lang w:val="en-US" w:eastAsia="zh-CN"/>
        </w:rPr>
        <w:t>．</w:t>
      </w:r>
      <w:r>
        <w:rPr>
          <w:rFonts w:hint="eastAsia" w:ascii="Times New Roman" w:hAnsi="Times New Roman" w:eastAsia="仿宋_GB2312" w:cs="Times New Roman"/>
          <w:sz w:val="32"/>
          <w:szCs w:val="32"/>
          <w:lang w:val="en-US" w:eastAsia="zh-CN"/>
        </w:rPr>
        <w:t>近两年获得国家自然科学、技术发明、科技进步奖数量：指报告年度及报告年度前一年，企业获得的国务院颁发的“自然科学奖”、“技术发明奖”、“科技</w:t>
      </w:r>
      <w:bookmarkStart w:id="3" w:name="_GoBack"/>
      <w:bookmarkEnd w:id="3"/>
      <w:r>
        <w:rPr>
          <w:rFonts w:hint="eastAsia" w:ascii="Times New Roman" w:hAnsi="Times New Roman" w:eastAsia="仿宋_GB2312" w:cs="Times New Roman"/>
          <w:sz w:val="32"/>
          <w:szCs w:val="32"/>
          <w:lang w:val="en-US" w:eastAsia="zh-CN"/>
        </w:rPr>
        <w:t>进步奖”。</w:t>
      </w:r>
    </w:p>
    <w:sectPr>
      <w:footerReference r:id="rId3" w:type="default"/>
      <w:footerReference r:id="rId4" w:type="even"/>
      <w:pgSz w:w="11906" w:h="16838"/>
      <w:pgMar w:top="2098" w:right="1474" w:bottom="1985" w:left="1588" w:header="851" w:footer="1077" w:gutter="0"/>
      <w:pgNumType w:fmt="numberInDash" w:start="1"/>
      <w:cols w:space="425" w:num="1"/>
      <w:docGrid w:type="linesAndChars" w:linePitch="579" w:charSpace="-1844"/>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Cambria">
    <w:panose1 w:val="02040503050406030204"/>
    <w:charset w:val="00"/>
    <w:family w:val="roman"/>
    <w:pitch w:val="default"/>
    <w:sig w:usb0="E00006FF" w:usb1="420024FF" w:usb2="02000000" w:usb3="00000000" w:csb0="2000019F" w:csb1="00000000"/>
  </w:font>
  <w:font w:name="方正小标宋简体">
    <w:altName w:val="仿宋_GB2312"/>
    <w:panose1 w:val="03000509000000000000"/>
    <w:charset w:val="86"/>
    <w:family w:val="script"/>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framePr w:w="1310" w:h="567" w:hRule="exact" w:wrap="around" w:vAnchor="page" w:hAnchor="margin" w:xAlign="outside" w:y="15140"/>
      <w:spacing w:line="280" w:lineRule="exact"/>
      <w:jc w:val="center"/>
      <w:rPr>
        <w:rStyle w:val="13"/>
        <w:rFonts w:ascii="宋体" w:hAnsi="宋体"/>
        <w:sz w:val="28"/>
        <w:szCs w:val="28"/>
      </w:rPr>
    </w:pPr>
    <w:r>
      <w:rPr>
        <w:rStyle w:val="13"/>
        <w:rFonts w:ascii="宋体" w:hAnsi="宋体"/>
        <w:sz w:val="28"/>
        <w:szCs w:val="28"/>
      </w:rPr>
      <w:fldChar w:fldCharType="begin"/>
    </w:r>
    <w:r>
      <w:rPr>
        <w:rStyle w:val="13"/>
        <w:rFonts w:ascii="宋体" w:hAnsi="宋体"/>
        <w:sz w:val="28"/>
        <w:szCs w:val="28"/>
      </w:rPr>
      <w:instrText xml:space="preserve">PAGE  </w:instrText>
    </w:r>
    <w:r>
      <w:rPr>
        <w:rStyle w:val="13"/>
        <w:rFonts w:ascii="宋体" w:hAnsi="宋体"/>
        <w:sz w:val="28"/>
        <w:szCs w:val="28"/>
      </w:rPr>
      <w:fldChar w:fldCharType="separate"/>
    </w:r>
    <w:r>
      <w:rPr>
        <w:rStyle w:val="13"/>
        <w:rFonts w:ascii="宋体" w:hAnsi="宋体"/>
        <w:sz w:val="28"/>
        <w:szCs w:val="28"/>
      </w:rPr>
      <w:t>- 8 -</w:t>
    </w:r>
    <w:r>
      <w:rPr>
        <w:rStyle w:val="13"/>
        <w:rFonts w:ascii="宋体" w:hAnsi="宋体"/>
        <w:sz w:val="28"/>
        <w:szCs w:val="28"/>
      </w:rPr>
      <w:fldChar w:fldCharType="end"/>
    </w:r>
  </w:p>
  <w:p>
    <w:pPr>
      <w:pStyle w:val="8"/>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framePr w:wrap="around" w:vAnchor="text" w:hAnchor="margin" w:xAlign="outside" w:y="1"/>
      <w:rPr>
        <w:rStyle w:val="13"/>
      </w:rPr>
    </w:pPr>
    <w:r>
      <w:rPr>
        <w:rStyle w:val="13"/>
      </w:rPr>
      <w:fldChar w:fldCharType="begin"/>
    </w:r>
    <w:r>
      <w:rPr>
        <w:rStyle w:val="13"/>
      </w:rPr>
      <w:instrText xml:space="preserve">PAGE  </w:instrText>
    </w:r>
    <w:r>
      <w:rPr>
        <w:rStyle w:val="13"/>
      </w:rPr>
      <w:fldChar w:fldCharType="end"/>
    </w:r>
  </w:p>
  <w:p>
    <w:pPr>
      <w:pStyle w:val="8"/>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attachedTemplate r:id="rId1"/>
  <w:documentProtection w:enforcement="0"/>
  <w:defaultTabStop w:val="420"/>
  <w:drawingGridHorizontalSpacing w:val="201"/>
  <w:drawingGridVerticalSpacing w:val="579"/>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581A"/>
    <w:rsid w:val="00002F68"/>
    <w:rsid w:val="000144F3"/>
    <w:rsid w:val="00020C56"/>
    <w:rsid w:val="00023CF7"/>
    <w:rsid w:val="00033DFF"/>
    <w:rsid w:val="00046F69"/>
    <w:rsid w:val="00047EED"/>
    <w:rsid w:val="0006656E"/>
    <w:rsid w:val="00072218"/>
    <w:rsid w:val="00083F8C"/>
    <w:rsid w:val="000A4124"/>
    <w:rsid w:val="000B6B4C"/>
    <w:rsid w:val="000C1F22"/>
    <w:rsid w:val="000C50E1"/>
    <w:rsid w:val="000D2249"/>
    <w:rsid w:val="000D5F7A"/>
    <w:rsid w:val="00100C4E"/>
    <w:rsid w:val="001032D1"/>
    <w:rsid w:val="00107027"/>
    <w:rsid w:val="00163844"/>
    <w:rsid w:val="00166523"/>
    <w:rsid w:val="00194FE5"/>
    <w:rsid w:val="001A2DE2"/>
    <w:rsid w:val="001C4BA3"/>
    <w:rsid w:val="001D4F6B"/>
    <w:rsid w:val="001F2E84"/>
    <w:rsid w:val="001F4533"/>
    <w:rsid w:val="001F4648"/>
    <w:rsid w:val="001F581A"/>
    <w:rsid w:val="00212C15"/>
    <w:rsid w:val="0021602F"/>
    <w:rsid w:val="00223CC7"/>
    <w:rsid w:val="00224AC8"/>
    <w:rsid w:val="00224C9C"/>
    <w:rsid w:val="002305B4"/>
    <w:rsid w:val="00236910"/>
    <w:rsid w:val="00240AAF"/>
    <w:rsid w:val="0024591A"/>
    <w:rsid w:val="00265288"/>
    <w:rsid w:val="00284EA7"/>
    <w:rsid w:val="002A125B"/>
    <w:rsid w:val="002A7BE3"/>
    <w:rsid w:val="002C182A"/>
    <w:rsid w:val="002C284E"/>
    <w:rsid w:val="002C4980"/>
    <w:rsid w:val="002E404E"/>
    <w:rsid w:val="00302117"/>
    <w:rsid w:val="00307012"/>
    <w:rsid w:val="00317A00"/>
    <w:rsid w:val="00324738"/>
    <w:rsid w:val="00344FFC"/>
    <w:rsid w:val="003564B8"/>
    <w:rsid w:val="0039400E"/>
    <w:rsid w:val="003A0AC9"/>
    <w:rsid w:val="003A3DA5"/>
    <w:rsid w:val="003A4D68"/>
    <w:rsid w:val="003B38AB"/>
    <w:rsid w:val="003D38DC"/>
    <w:rsid w:val="003E2E59"/>
    <w:rsid w:val="003E737B"/>
    <w:rsid w:val="003F4947"/>
    <w:rsid w:val="00411811"/>
    <w:rsid w:val="00430BE2"/>
    <w:rsid w:val="00432DCC"/>
    <w:rsid w:val="004405C3"/>
    <w:rsid w:val="00442A6F"/>
    <w:rsid w:val="00451077"/>
    <w:rsid w:val="0045180F"/>
    <w:rsid w:val="00454417"/>
    <w:rsid w:val="004655FB"/>
    <w:rsid w:val="0047071B"/>
    <w:rsid w:val="00470A0A"/>
    <w:rsid w:val="004A2739"/>
    <w:rsid w:val="004A5290"/>
    <w:rsid w:val="004B0A1A"/>
    <w:rsid w:val="004B5B63"/>
    <w:rsid w:val="004C289E"/>
    <w:rsid w:val="004C3631"/>
    <w:rsid w:val="004C6787"/>
    <w:rsid w:val="004C734D"/>
    <w:rsid w:val="004D26C0"/>
    <w:rsid w:val="004E065E"/>
    <w:rsid w:val="004F3D93"/>
    <w:rsid w:val="004F69B4"/>
    <w:rsid w:val="00506EAE"/>
    <w:rsid w:val="0055024E"/>
    <w:rsid w:val="00560A51"/>
    <w:rsid w:val="00561059"/>
    <w:rsid w:val="0057569C"/>
    <w:rsid w:val="00584234"/>
    <w:rsid w:val="005860B8"/>
    <w:rsid w:val="005A1E09"/>
    <w:rsid w:val="005A332F"/>
    <w:rsid w:val="005C7B51"/>
    <w:rsid w:val="005E6A9B"/>
    <w:rsid w:val="005F0582"/>
    <w:rsid w:val="005F0A0C"/>
    <w:rsid w:val="006048F6"/>
    <w:rsid w:val="006050FD"/>
    <w:rsid w:val="00606809"/>
    <w:rsid w:val="00607A73"/>
    <w:rsid w:val="006222EE"/>
    <w:rsid w:val="006225AD"/>
    <w:rsid w:val="00627D66"/>
    <w:rsid w:val="0064073B"/>
    <w:rsid w:val="00643A09"/>
    <w:rsid w:val="00647C1A"/>
    <w:rsid w:val="00651CDA"/>
    <w:rsid w:val="00653696"/>
    <w:rsid w:val="00656B26"/>
    <w:rsid w:val="00663A31"/>
    <w:rsid w:val="0067276C"/>
    <w:rsid w:val="00677C1D"/>
    <w:rsid w:val="00677D79"/>
    <w:rsid w:val="006871A3"/>
    <w:rsid w:val="006A05AB"/>
    <w:rsid w:val="006A2FC7"/>
    <w:rsid w:val="006D39AD"/>
    <w:rsid w:val="00707A04"/>
    <w:rsid w:val="00710A82"/>
    <w:rsid w:val="00711092"/>
    <w:rsid w:val="00711FD0"/>
    <w:rsid w:val="00734B13"/>
    <w:rsid w:val="00735301"/>
    <w:rsid w:val="00736EB7"/>
    <w:rsid w:val="00754CAD"/>
    <w:rsid w:val="00756732"/>
    <w:rsid w:val="007615B2"/>
    <w:rsid w:val="007640B0"/>
    <w:rsid w:val="0076478E"/>
    <w:rsid w:val="00780B93"/>
    <w:rsid w:val="007B2D83"/>
    <w:rsid w:val="007B7047"/>
    <w:rsid w:val="007D54E9"/>
    <w:rsid w:val="007E0ACD"/>
    <w:rsid w:val="007E114E"/>
    <w:rsid w:val="00801FC9"/>
    <w:rsid w:val="00803B03"/>
    <w:rsid w:val="0080438F"/>
    <w:rsid w:val="0081210F"/>
    <w:rsid w:val="00830F62"/>
    <w:rsid w:val="00836ABA"/>
    <w:rsid w:val="00840C66"/>
    <w:rsid w:val="00841072"/>
    <w:rsid w:val="008512B8"/>
    <w:rsid w:val="00861F8F"/>
    <w:rsid w:val="00862AD7"/>
    <w:rsid w:val="00880AFD"/>
    <w:rsid w:val="0088379F"/>
    <w:rsid w:val="0089715E"/>
    <w:rsid w:val="008C1364"/>
    <w:rsid w:val="008D28D9"/>
    <w:rsid w:val="008D303B"/>
    <w:rsid w:val="00901F62"/>
    <w:rsid w:val="009030C3"/>
    <w:rsid w:val="009210E4"/>
    <w:rsid w:val="00934CBC"/>
    <w:rsid w:val="009412CD"/>
    <w:rsid w:val="009634C8"/>
    <w:rsid w:val="00967475"/>
    <w:rsid w:val="009709D5"/>
    <w:rsid w:val="0097316F"/>
    <w:rsid w:val="0098720A"/>
    <w:rsid w:val="00997ACE"/>
    <w:rsid w:val="009A2F05"/>
    <w:rsid w:val="009B117D"/>
    <w:rsid w:val="009B265E"/>
    <w:rsid w:val="009B273F"/>
    <w:rsid w:val="009B62F6"/>
    <w:rsid w:val="009C28DB"/>
    <w:rsid w:val="009C635A"/>
    <w:rsid w:val="009E44F3"/>
    <w:rsid w:val="009F104B"/>
    <w:rsid w:val="00A02D27"/>
    <w:rsid w:val="00A04F71"/>
    <w:rsid w:val="00A271FD"/>
    <w:rsid w:val="00A2746E"/>
    <w:rsid w:val="00A324DD"/>
    <w:rsid w:val="00A32528"/>
    <w:rsid w:val="00A441EB"/>
    <w:rsid w:val="00A51E02"/>
    <w:rsid w:val="00A52BE2"/>
    <w:rsid w:val="00A55425"/>
    <w:rsid w:val="00A640FE"/>
    <w:rsid w:val="00A65667"/>
    <w:rsid w:val="00A95AAA"/>
    <w:rsid w:val="00AA198D"/>
    <w:rsid w:val="00AA5A4E"/>
    <w:rsid w:val="00AC60BF"/>
    <w:rsid w:val="00AC7B35"/>
    <w:rsid w:val="00AE4E9E"/>
    <w:rsid w:val="00B04A5D"/>
    <w:rsid w:val="00B063DE"/>
    <w:rsid w:val="00B13A78"/>
    <w:rsid w:val="00B22939"/>
    <w:rsid w:val="00B2774B"/>
    <w:rsid w:val="00B47F31"/>
    <w:rsid w:val="00B50BC0"/>
    <w:rsid w:val="00B7733D"/>
    <w:rsid w:val="00B87CD9"/>
    <w:rsid w:val="00B905BD"/>
    <w:rsid w:val="00B92693"/>
    <w:rsid w:val="00B957BC"/>
    <w:rsid w:val="00BD18D1"/>
    <w:rsid w:val="00BE1878"/>
    <w:rsid w:val="00C07644"/>
    <w:rsid w:val="00C11C8F"/>
    <w:rsid w:val="00C3642B"/>
    <w:rsid w:val="00C40D18"/>
    <w:rsid w:val="00C67352"/>
    <w:rsid w:val="00C95D69"/>
    <w:rsid w:val="00CB0CA7"/>
    <w:rsid w:val="00CC78A6"/>
    <w:rsid w:val="00CE4482"/>
    <w:rsid w:val="00CE6DAF"/>
    <w:rsid w:val="00CE70B8"/>
    <w:rsid w:val="00CE7C32"/>
    <w:rsid w:val="00D14731"/>
    <w:rsid w:val="00D5337E"/>
    <w:rsid w:val="00D8047C"/>
    <w:rsid w:val="00D83EAB"/>
    <w:rsid w:val="00DB345F"/>
    <w:rsid w:val="00DB6AD6"/>
    <w:rsid w:val="00DE39EC"/>
    <w:rsid w:val="00DE75AF"/>
    <w:rsid w:val="00DF710E"/>
    <w:rsid w:val="00E05C24"/>
    <w:rsid w:val="00E0617C"/>
    <w:rsid w:val="00E15D10"/>
    <w:rsid w:val="00E34793"/>
    <w:rsid w:val="00E53B2F"/>
    <w:rsid w:val="00E5598D"/>
    <w:rsid w:val="00E6116D"/>
    <w:rsid w:val="00E63ACA"/>
    <w:rsid w:val="00E6431C"/>
    <w:rsid w:val="00E65710"/>
    <w:rsid w:val="00E676F6"/>
    <w:rsid w:val="00E70A60"/>
    <w:rsid w:val="00E7395C"/>
    <w:rsid w:val="00E822E8"/>
    <w:rsid w:val="00E94D61"/>
    <w:rsid w:val="00EA487E"/>
    <w:rsid w:val="00EB2C93"/>
    <w:rsid w:val="00ED5645"/>
    <w:rsid w:val="00EF30E9"/>
    <w:rsid w:val="00EF6FB6"/>
    <w:rsid w:val="00F029BA"/>
    <w:rsid w:val="00F13045"/>
    <w:rsid w:val="00F1314D"/>
    <w:rsid w:val="00F21126"/>
    <w:rsid w:val="00F479D1"/>
    <w:rsid w:val="00F50C1D"/>
    <w:rsid w:val="00F86262"/>
    <w:rsid w:val="00F86DDA"/>
    <w:rsid w:val="00F97090"/>
    <w:rsid w:val="01225CF9"/>
    <w:rsid w:val="016E6F73"/>
    <w:rsid w:val="01833C48"/>
    <w:rsid w:val="020005B5"/>
    <w:rsid w:val="0279214F"/>
    <w:rsid w:val="02B14F6C"/>
    <w:rsid w:val="02CF00E0"/>
    <w:rsid w:val="031C78C1"/>
    <w:rsid w:val="031F30FA"/>
    <w:rsid w:val="03606EA3"/>
    <w:rsid w:val="03B3093F"/>
    <w:rsid w:val="03C06CD6"/>
    <w:rsid w:val="03CC03B9"/>
    <w:rsid w:val="040836EC"/>
    <w:rsid w:val="04170993"/>
    <w:rsid w:val="04367AC1"/>
    <w:rsid w:val="04376C93"/>
    <w:rsid w:val="046242EE"/>
    <w:rsid w:val="053A0E32"/>
    <w:rsid w:val="05BA26FE"/>
    <w:rsid w:val="05D67FE3"/>
    <w:rsid w:val="05F36258"/>
    <w:rsid w:val="065412B9"/>
    <w:rsid w:val="06817C0E"/>
    <w:rsid w:val="06AA2435"/>
    <w:rsid w:val="06AD129F"/>
    <w:rsid w:val="06B6687C"/>
    <w:rsid w:val="06E935EF"/>
    <w:rsid w:val="07173B22"/>
    <w:rsid w:val="078D1492"/>
    <w:rsid w:val="07DB19A8"/>
    <w:rsid w:val="08040002"/>
    <w:rsid w:val="08493132"/>
    <w:rsid w:val="08724D47"/>
    <w:rsid w:val="0912360E"/>
    <w:rsid w:val="09366701"/>
    <w:rsid w:val="09447DFD"/>
    <w:rsid w:val="096F66D4"/>
    <w:rsid w:val="0A1A550F"/>
    <w:rsid w:val="0A5E77E6"/>
    <w:rsid w:val="0AA73AC3"/>
    <w:rsid w:val="0AC01469"/>
    <w:rsid w:val="0AD2646C"/>
    <w:rsid w:val="0AE370B2"/>
    <w:rsid w:val="0B5D1FCE"/>
    <w:rsid w:val="0B882E4F"/>
    <w:rsid w:val="0BB4719A"/>
    <w:rsid w:val="0C4909DA"/>
    <w:rsid w:val="0C5D0400"/>
    <w:rsid w:val="0C5E4F18"/>
    <w:rsid w:val="0CEC5136"/>
    <w:rsid w:val="0D3B42A0"/>
    <w:rsid w:val="0D6A5ADD"/>
    <w:rsid w:val="0E302D1F"/>
    <w:rsid w:val="0EB512C7"/>
    <w:rsid w:val="0EEE1753"/>
    <w:rsid w:val="0EFC3EEB"/>
    <w:rsid w:val="0F2D4EB4"/>
    <w:rsid w:val="0F706E5C"/>
    <w:rsid w:val="0F7B2929"/>
    <w:rsid w:val="10D67E0A"/>
    <w:rsid w:val="10EB0DDE"/>
    <w:rsid w:val="10EC5191"/>
    <w:rsid w:val="11082B5C"/>
    <w:rsid w:val="11821BC6"/>
    <w:rsid w:val="1191264B"/>
    <w:rsid w:val="11D201AE"/>
    <w:rsid w:val="11F37B00"/>
    <w:rsid w:val="1222672A"/>
    <w:rsid w:val="12B77F46"/>
    <w:rsid w:val="12BF3268"/>
    <w:rsid w:val="12F835D3"/>
    <w:rsid w:val="132B5C0B"/>
    <w:rsid w:val="137541C8"/>
    <w:rsid w:val="1394399F"/>
    <w:rsid w:val="139B2DD4"/>
    <w:rsid w:val="13C806DB"/>
    <w:rsid w:val="13CF0C3B"/>
    <w:rsid w:val="13E07C4C"/>
    <w:rsid w:val="14033566"/>
    <w:rsid w:val="140E77B4"/>
    <w:rsid w:val="149E52F4"/>
    <w:rsid w:val="14BA594B"/>
    <w:rsid w:val="14DD54D7"/>
    <w:rsid w:val="151568F4"/>
    <w:rsid w:val="15474198"/>
    <w:rsid w:val="15CC3A11"/>
    <w:rsid w:val="15DA5E7A"/>
    <w:rsid w:val="1604527B"/>
    <w:rsid w:val="161F4231"/>
    <w:rsid w:val="162E5595"/>
    <w:rsid w:val="16740EF1"/>
    <w:rsid w:val="16C943CF"/>
    <w:rsid w:val="17872971"/>
    <w:rsid w:val="18FF3539"/>
    <w:rsid w:val="190829CC"/>
    <w:rsid w:val="19251DF8"/>
    <w:rsid w:val="197D20CF"/>
    <w:rsid w:val="198B2702"/>
    <w:rsid w:val="19F2360B"/>
    <w:rsid w:val="1A044098"/>
    <w:rsid w:val="1A584AEB"/>
    <w:rsid w:val="1AA07AAD"/>
    <w:rsid w:val="1ACC25CB"/>
    <w:rsid w:val="1B2B4FB7"/>
    <w:rsid w:val="1B3B0163"/>
    <w:rsid w:val="1B64489E"/>
    <w:rsid w:val="1C3216B6"/>
    <w:rsid w:val="1C843BC0"/>
    <w:rsid w:val="1C89528C"/>
    <w:rsid w:val="1CEE7EBE"/>
    <w:rsid w:val="1D0B0DFA"/>
    <w:rsid w:val="1D2F30C9"/>
    <w:rsid w:val="1D587595"/>
    <w:rsid w:val="1DA46409"/>
    <w:rsid w:val="1E9E088F"/>
    <w:rsid w:val="1ED01308"/>
    <w:rsid w:val="1F1A14ED"/>
    <w:rsid w:val="1F6F1D47"/>
    <w:rsid w:val="20254630"/>
    <w:rsid w:val="203D33F3"/>
    <w:rsid w:val="206B7AE8"/>
    <w:rsid w:val="20801D2E"/>
    <w:rsid w:val="210F58F9"/>
    <w:rsid w:val="212914AE"/>
    <w:rsid w:val="21B172E0"/>
    <w:rsid w:val="21CD7306"/>
    <w:rsid w:val="221503E1"/>
    <w:rsid w:val="22B21C38"/>
    <w:rsid w:val="22CE63A2"/>
    <w:rsid w:val="234C7D55"/>
    <w:rsid w:val="23AD7BD5"/>
    <w:rsid w:val="23B239A5"/>
    <w:rsid w:val="23C148C4"/>
    <w:rsid w:val="23EE1AE2"/>
    <w:rsid w:val="243B3D8A"/>
    <w:rsid w:val="2464684E"/>
    <w:rsid w:val="24714656"/>
    <w:rsid w:val="248831A6"/>
    <w:rsid w:val="24E552AF"/>
    <w:rsid w:val="24F367A4"/>
    <w:rsid w:val="252B1D38"/>
    <w:rsid w:val="253677D8"/>
    <w:rsid w:val="25EA5900"/>
    <w:rsid w:val="260D3254"/>
    <w:rsid w:val="26FB5035"/>
    <w:rsid w:val="278620E2"/>
    <w:rsid w:val="27A2404B"/>
    <w:rsid w:val="27A86819"/>
    <w:rsid w:val="280D7140"/>
    <w:rsid w:val="28564524"/>
    <w:rsid w:val="2876424C"/>
    <w:rsid w:val="290577CB"/>
    <w:rsid w:val="2921242B"/>
    <w:rsid w:val="2925393C"/>
    <w:rsid w:val="29791AED"/>
    <w:rsid w:val="29AC7173"/>
    <w:rsid w:val="29E36A13"/>
    <w:rsid w:val="2A020C79"/>
    <w:rsid w:val="2A141278"/>
    <w:rsid w:val="2A1E7839"/>
    <w:rsid w:val="2A727C98"/>
    <w:rsid w:val="2BAE71AA"/>
    <w:rsid w:val="2BFE26B2"/>
    <w:rsid w:val="2C7776FC"/>
    <w:rsid w:val="2CA303AF"/>
    <w:rsid w:val="2CCB4A27"/>
    <w:rsid w:val="2CDE1E8D"/>
    <w:rsid w:val="2CFC31B3"/>
    <w:rsid w:val="2D3B232A"/>
    <w:rsid w:val="2D983571"/>
    <w:rsid w:val="2DC649CA"/>
    <w:rsid w:val="2E4436B0"/>
    <w:rsid w:val="2E803C85"/>
    <w:rsid w:val="2E8C5501"/>
    <w:rsid w:val="2EC20166"/>
    <w:rsid w:val="2EC55901"/>
    <w:rsid w:val="2F472842"/>
    <w:rsid w:val="2F9A5B5C"/>
    <w:rsid w:val="2FE93FBB"/>
    <w:rsid w:val="3013396A"/>
    <w:rsid w:val="3050154C"/>
    <w:rsid w:val="30505DA6"/>
    <w:rsid w:val="30AB51AE"/>
    <w:rsid w:val="311E5B63"/>
    <w:rsid w:val="312D2FAF"/>
    <w:rsid w:val="31776B73"/>
    <w:rsid w:val="324676AF"/>
    <w:rsid w:val="327029CA"/>
    <w:rsid w:val="32766774"/>
    <w:rsid w:val="328D64AC"/>
    <w:rsid w:val="32B13D49"/>
    <w:rsid w:val="332E23E3"/>
    <w:rsid w:val="338356AF"/>
    <w:rsid w:val="33A12142"/>
    <w:rsid w:val="33A831CF"/>
    <w:rsid w:val="33B17A94"/>
    <w:rsid w:val="33B42D42"/>
    <w:rsid w:val="34180581"/>
    <w:rsid w:val="34AC30E7"/>
    <w:rsid w:val="34D8764B"/>
    <w:rsid w:val="35781BAF"/>
    <w:rsid w:val="364C5B06"/>
    <w:rsid w:val="366B345A"/>
    <w:rsid w:val="370966C1"/>
    <w:rsid w:val="379327B4"/>
    <w:rsid w:val="37AC404A"/>
    <w:rsid w:val="37F76509"/>
    <w:rsid w:val="381A037F"/>
    <w:rsid w:val="381F1646"/>
    <w:rsid w:val="38264159"/>
    <w:rsid w:val="385F5FBD"/>
    <w:rsid w:val="38695E0A"/>
    <w:rsid w:val="38A334DA"/>
    <w:rsid w:val="38A95111"/>
    <w:rsid w:val="38CA2C03"/>
    <w:rsid w:val="3910444B"/>
    <w:rsid w:val="391B05CD"/>
    <w:rsid w:val="3953577E"/>
    <w:rsid w:val="3A086B40"/>
    <w:rsid w:val="3A440ED7"/>
    <w:rsid w:val="3A5159AC"/>
    <w:rsid w:val="3A52765C"/>
    <w:rsid w:val="3A5672F7"/>
    <w:rsid w:val="3A7B5C63"/>
    <w:rsid w:val="3A8550B5"/>
    <w:rsid w:val="3ABD6C82"/>
    <w:rsid w:val="3AD01D96"/>
    <w:rsid w:val="3B98415E"/>
    <w:rsid w:val="3C24587B"/>
    <w:rsid w:val="3C634820"/>
    <w:rsid w:val="3C67110C"/>
    <w:rsid w:val="3C7D2911"/>
    <w:rsid w:val="3C7E1AAF"/>
    <w:rsid w:val="3D2705A6"/>
    <w:rsid w:val="3DA977DA"/>
    <w:rsid w:val="3DED4948"/>
    <w:rsid w:val="3E2A5A94"/>
    <w:rsid w:val="3E917B48"/>
    <w:rsid w:val="3E955680"/>
    <w:rsid w:val="3EBD79ED"/>
    <w:rsid w:val="3FF06F7C"/>
    <w:rsid w:val="40227934"/>
    <w:rsid w:val="4029740A"/>
    <w:rsid w:val="4084084B"/>
    <w:rsid w:val="40A31163"/>
    <w:rsid w:val="40B272AD"/>
    <w:rsid w:val="40B93696"/>
    <w:rsid w:val="41496E0D"/>
    <w:rsid w:val="416E3701"/>
    <w:rsid w:val="41DB532F"/>
    <w:rsid w:val="41E322F7"/>
    <w:rsid w:val="42441641"/>
    <w:rsid w:val="4254266E"/>
    <w:rsid w:val="426D13DD"/>
    <w:rsid w:val="42AA2997"/>
    <w:rsid w:val="43050CEB"/>
    <w:rsid w:val="432F2C2F"/>
    <w:rsid w:val="43FF06DE"/>
    <w:rsid w:val="44D734AA"/>
    <w:rsid w:val="44F64BA6"/>
    <w:rsid w:val="44FF3179"/>
    <w:rsid w:val="44FF73B9"/>
    <w:rsid w:val="45487B71"/>
    <w:rsid w:val="45743566"/>
    <w:rsid w:val="45B53853"/>
    <w:rsid w:val="45D240F0"/>
    <w:rsid w:val="46965F4B"/>
    <w:rsid w:val="46A41BD2"/>
    <w:rsid w:val="46DE37C4"/>
    <w:rsid w:val="470C3FCC"/>
    <w:rsid w:val="47131382"/>
    <w:rsid w:val="47707BE5"/>
    <w:rsid w:val="478413D5"/>
    <w:rsid w:val="47B51ACD"/>
    <w:rsid w:val="47D02B8E"/>
    <w:rsid w:val="47F044F5"/>
    <w:rsid w:val="482153DF"/>
    <w:rsid w:val="483401AF"/>
    <w:rsid w:val="49187FD2"/>
    <w:rsid w:val="4979796D"/>
    <w:rsid w:val="4A037EE1"/>
    <w:rsid w:val="4AAC31A9"/>
    <w:rsid w:val="4AF07409"/>
    <w:rsid w:val="4B9C7C25"/>
    <w:rsid w:val="4BB44D37"/>
    <w:rsid w:val="4BD21943"/>
    <w:rsid w:val="4BE95168"/>
    <w:rsid w:val="4BF567D5"/>
    <w:rsid w:val="4C027358"/>
    <w:rsid w:val="4C8954F2"/>
    <w:rsid w:val="4CB04D0D"/>
    <w:rsid w:val="4CC95596"/>
    <w:rsid w:val="4CF32BD3"/>
    <w:rsid w:val="4D387C07"/>
    <w:rsid w:val="4D575654"/>
    <w:rsid w:val="4DA91F08"/>
    <w:rsid w:val="4DFA1E96"/>
    <w:rsid w:val="4EDB207C"/>
    <w:rsid w:val="4F061FC3"/>
    <w:rsid w:val="4F5D7071"/>
    <w:rsid w:val="4F6A3B92"/>
    <w:rsid w:val="4FB05D46"/>
    <w:rsid w:val="4FC2263B"/>
    <w:rsid w:val="500957ED"/>
    <w:rsid w:val="504459EA"/>
    <w:rsid w:val="505F09D8"/>
    <w:rsid w:val="50737A9E"/>
    <w:rsid w:val="509E074D"/>
    <w:rsid w:val="50BC5250"/>
    <w:rsid w:val="51044544"/>
    <w:rsid w:val="51771FF5"/>
    <w:rsid w:val="51FD113D"/>
    <w:rsid w:val="52187397"/>
    <w:rsid w:val="527138C4"/>
    <w:rsid w:val="528038CA"/>
    <w:rsid w:val="52982F23"/>
    <w:rsid w:val="529C2DD5"/>
    <w:rsid w:val="535D2F6E"/>
    <w:rsid w:val="538C47A7"/>
    <w:rsid w:val="53AE2411"/>
    <w:rsid w:val="53F82084"/>
    <w:rsid w:val="54470CAB"/>
    <w:rsid w:val="545255F2"/>
    <w:rsid w:val="548963DF"/>
    <w:rsid w:val="54BD5BC7"/>
    <w:rsid w:val="54C0602B"/>
    <w:rsid w:val="55575A2E"/>
    <w:rsid w:val="556963CE"/>
    <w:rsid w:val="55C937C6"/>
    <w:rsid w:val="564102E6"/>
    <w:rsid w:val="567F0E9E"/>
    <w:rsid w:val="56DB4044"/>
    <w:rsid w:val="56F54E18"/>
    <w:rsid w:val="570A0218"/>
    <w:rsid w:val="570D5005"/>
    <w:rsid w:val="571A04B9"/>
    <w:rsid w:val="57B07902"/>
    <w:rsid w:val="57C557AD"/>
    <w:rsid w:val="58193F5D"/>
    <w:rsid w:val="58470FEF"/>
    <w:rsid w:val="586F7D41"/>
    <w:rsid w:val="58824E7D"/>
    <w:rsid w:val="58DB531A"/>
    <w:rsid w:val="58E93C01"/>
    <w:rsid w:val="592363E4"/>
    <w:rsid w:val="598816FF"/>
    <w:rsid w:val="59F06F53"/>
    <w:rsid w:val="59F60EDC"/>
    <w:rsid w:val="5A042644"/>
    <w:rsid w:val="5A49258A"/>
    <w:rsid w:val="5A5E0436"/>
    <w:rsid w:val="5A8555B7"/>
    <w:rsid w:val="5ACD22BF"/>
    <w:rsid w:val="5B0E5A71"/>
    <w:rsid w:val="5B1043CF"/>
    <w:rsid w:val="5B117B27"/>
    <w:rsid w:val="5B175DCF"/>
    <w:rsid w:val="5B9A4EE7"/>
    <w:rsid w:val="5C661EC9"/>
    <w:rsid w:val="5C8018BB"/>
    <w:rsid w:val="5C9A2C90"/>
    <w:rsid w:val="5CD311A2"/>
    <w:rsid w:val="5D24591E"/>
    <w:rsid w:val="5D3932E4"/>
    <w:rsid w:val="5D467C32"/>
    <w:rsid w:val="5DB71CBC"/>
    <w:rsid w:val="5DE41DB9"/>
    <w:rsid w:val="5DE85A04"/>
    <w:rsid w:val="5E3007F8"/>
    <w:rsid w:val="5EA11179"/>
    <w:rsid w:val="5F301C4C"/>
    <w:rsid w:val="5F4131DC"/>
    <w:rsid w:val="5F6576A9"/>
    <w:rsid w:val="5FD42756"/>
    <w:rsid w:val="603010A6"/>
    <w:rsid w:val="603E39CC"/>
    <w:rsid w:val="605974CD"/>
    <w:rsid w:val="60AE45F4"/>
    <w:rsid w:val="60CB3357"/>
    <w:rsid w:val="610601A8"/>
    <w:rsid w:val="613E7B61"/>
    <w:rsid w:val="61521FD2"/>
    <w:rsid w:val="615E2556"/>
    <w:rsid w:val="61776308"/>
    <w:rsid w:val="61AB10BA"/>
    <w:rsid w:val="62293CA4"/>
    <w:rsid w:val="62E2410C"/>
    <w:rsid w:val="632168FB"/>
    <w:rsid w:val="63336E72"/>
    <w:rsid w:val="6347074B"/>
    <w:rsid w:val="636D4694"/>
    <w:rsid w:val="63726F37"/>
    <w:rsid w:val="63FF646B"/>
    <w:rsid w:val="641B2E73"/>
    <w:rsid w:val="642041B7"/>
    <w:rsid w:val="64563A38"/>
    <w:rsid w:val="64767163"/>
    <w:rsid w:val="647764E4"/>
    <w:rsid w:val="648D0F8B"/>
    <w:rsid w:val="65406127"/>
    <w:rsid w:val="65770233"/>
    <w:rsid w:val="65A3334E"/>
    <w:rsid w:val="668D4217"/>
    <w:rsid w:val="669A74E6"/>
    <w:rsid w:val="669C59FF"/>
    <w:rsid w:val="66E3784D"/>
    <w:rsid w:val="66FC3F95"/>
    <w:rsid w:val="67366FD6"/>
    <w:rsid w:val="673A2422"/>
    <w:rsid w:val="67562484"/>
    <w:rsid w:val="679F7BA5"/>
    <w:rsid w:val="67DE7F04"/>
    <w:rsid w:val="67FA35DD"/>
    <w:rsid w:val="688001AC"/>
    <w:rsid w:val="688C2CEF"/>
    <w:rsid w:val="68E65685"/>
    <w:rsid w:val="69443152"/>
    <w:rsid w:val="69AB7BC1"/>
    <w:rsid w:val="69BB3C3D"/>
    <w:rsid w:val="69BC652C"/>
    <w:rsid w:val="69C35D08"/>
    <w:rsid w:val="69CE7E1B"/>
    <w:rsid w:val="6A356457"/>
    <w:rsid w:val="6A521B40"/>
    <w:rsid w:val="6AB96FBC"/>
    <w:rsid w:val="6B760770"/>
    <w:rsid w:val="6C18417E"/>
    <w:rsid w:val="6C560ADB"/>
    <w:rsid w:val="6D036664"/>
    <w:rsid w:val="6D26313F"/>
    <w:rsid w:val="6D352D7A"/>
    <w:rsid w:val="6D5F43D6"/>
    <w:rsid w:val="6DE40848"/>
    <w:rsid w:val="6DF1394E"/>
    <w:rsid w:val="6E133885"/>
    <w:rsid w:val="6E15726F"/>
    <w:rsid w:val="6E1F6876"/>
    <w:rsid w:val="6E4A00FE"/>
    <w:rsid w:val="6E5D2787"/>
    <w:rsid w:val="6E864EDD"/>
    <w:rsid w:val="6F0664C6"/>
    <w:rsid w:val="6F0E6C82"/>
    <w:rsid w:val="6F2601A8"/>
    <w:rsid w:val="6F862338"/>
    <w:rsid w:val="6FE54065"/>
    <w:rsid w:val="70153F46"/>
    <w:rsid w:val="703361BC"/>
    <w:rsid w:val="706F2887"/>
    <w:rsid w:val="70FB47ED"/>
    <w:rsid w:val="70FC11F1"/>
    <w:rsid w:val="71095B17"/>
    <w:rsid w:val="7118016D"/>
    <w:rsid w:val="71F71D7B"/>
    <w:rsid w:val="7251745E"/>
    <w:rsid w:val="72571044"/>
    <w:rsid w:val="728E1D44"/>
    <w:rsid w:val="72D0582C"/>
    <w:rsid w:val="72D84638"/>
    <w:rsid w:val="73186AF1"/>
    <w:rsid w:val="73765A78"/>
    <w:rsid w:val="73D1109C"/>
    <w:rsid w:val="74D16E12"/>
    <w:rsid w:val="75505605"/>
    <w:rsid w:val="755373D5"/>
    <w:rsid w:val="758E2898"/>
    <w:rsid w:val="75911BCB"/>
    <w:rsid w:val="75924D51"/>
    <w:rsid w:val="75B23E2A"/>
    <w:rsid w:val="75BC32E5"/>
    <w:rsid w:val="762764F1"/>
    <w:rsid w:val="764A058D"/>
    <w:rsid w:val="769E5CF4"/>
    <w:rsid w:val="76CD6F5F"/>
    <w:rsid w:val="773D380D"/>
    <w:rsid w:val="777A23FD"/>
    <w:rsid w:val="77A2309B"/>
    <w:rsid w:val="780C05EF"/>
    <w:rsid w:val="780E4904"/>
    <w:rsid w:val="786532E6"/>
    <w:rsid w:val="786E4F7E"/>
    <w:rsid w:val="78C513FE"/>
    <w:rsid w:val="78E25BF2"/>
    <w:rsid w:val="79773260"/>
    <w:rsid w:val="79CF5F50"/>
    <w:rsid w:val="79DE0789"/>
    <w:rsid w:val="79EC087D"/>
    <w:rsid w:val="7A410754"/>
    <w:rsid w:val="7A605188"/>
    <w:rsid w:val="7A9A5922"/>
    <w:rsid w:val="7AD071DD"/>
    <w:rsid w:val="7AFA3487"/>
    <w:rsid w:val="7B6E3F12"/>
    <w:rsid w:val="7B7017ED"/>
    <w:rsid w:val="7C44659E"/>
    <w:rsid w:val="7C7C36FA"/>
    <w:rsid w:val="7C820004"/>
    <w:rsid w:val="7C877802"/>
    <w:rsid w:val="7CBC2367"/>
    <w:rsid w:val="7D0D0690"/>
    <w:rsid w:val="7D4D2E29"/>
    <w:rsid w:val="7D6A567C"/>
    <w:rsid w:val="7DAA737F"/>
    <w:rsid w:val="7DC7108B"/>
    <w:rsid w:val="7E3A5D28"/>
    <w:rsid w:val="7E6C1560"/>
    <w:rsid w:val="7F1A61CF"/>
    <w:rsid w:val="7F4E5050"/>
    <w:rsid w:val="7F553375"/>
    <w:rsid w:val="7F6B1F73"/>
    <w:rsid w:val="7F893953"/>
    <w:rsid w:val="7FD474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0"/>
    <w:pPr>
      <w:spacing w:before="100" w:line="360" w:lineRule="exact"/>
      <w:jc w:val="center"/>
    </w:pPr>
    <w:rPr>
      <w:rFonts w:ascii="仿宋_GB2312" w:hAnsi="华文中宋" w:eastAsia="仿宋_GB2312"/>
      <w:sz w:val="24"/>
      <w:szCs w:val="24"/>
    </w:rPr>
  </w:style>
  <w:style w:type="paragraph" w:styleId="4">
    <w:name w:val="caption"/>
    <w:basedOn w:val="1"/>
    <w:next w:val="1"/>
    <w:qFormat/>
    <w:uiPriority w:val="0"/>
    <w:rPr>
      <w:rFonts w:ascii="Cambria" w:hAnsi="Cambria" w:eastAsia="黑体" w:cs="Cambria"/>
      <w:sz w:val="20"/>
    </w:rPr>
  </w:style>
  <w:style w:type="paragraph" w:styleId="5">
    <w:name w:val="annotation text"/>
    <w:basedOn w:val="1"/>
    <w:qFormat/>
    <w:uiPriority w:val="0"/>
    <w:pPr>
      <w:jc w:val="left"/>
    </w:pPr>
  </w:style>
  <w:style w:type="paragraph" w:styleId="6">
    <w:name w:val="Date"/>
    <w:basedOn w:val="1"/>
    <w:next w:val="1"/>
    <w:qFormat/>
    <w:uiPriority w:val="0"/>
    <w:pPr>
      <w:ind w:left="100" w:leftChars="2500"/>
    </w:pPr>
    <w:rPr>
      <w:rFonts w:ascii="仿宋_GB2312" w:eastAsia="仿宋_GB2312"/>
      <w:sz w:val="32"/>
    </w:rPr>
  </w:style>
  <w:style w:type="paragraph" w:styleId="7">
    <w:name w:val="Balloon Text"/>
    <w:basedOn w:val="1"/>
    <w:semiHidden/>
    <w:qFormat/>
    <w:uiPriority w:val="0"/>
    <w:rPr>
      <w:sz w:val="18"/>
      <w:szCs w:val="18"/>
    </w:rPr>
  </w:style>
  <w:style w:type="paragraph" w:styleId="8">
    <w:name w:val="footer"/>
    <w:basedOn w:val="1"/>
    <w:qFormat/>
    <w:uiPriority w:val="0"/>
    <w:pPr>
      <w:tabs>
        <w:tab w:val="center" w:pos="4153"/>
        <w:tab w:val="right" w:pos="8306"/>
      </w:tabs>
      <w:snapToGrid w:val="0"/>
      <w:jc w:val="left"/>
    </w:pPr>
    <w:rPr>
      <w:sz w:val="18"/>
      <w:szCs w:val="18"/>
    </w:rPr>
  </w:style>
  <w:style w:type="paragraph" w:styleId="9">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0">
    <w:name w:val="Normal (Web)"/>
    <w:basedOn w:val="1"/>
    <w:qFormat/>
    <w:uiPriority w:val="0"/>
    <w:pPr>
      <w:widowControl/>
      <w:spacing w:before="100" w:beforeAutospacing="1" w:after="100" w:afterAutospacing="1"/>
      <w:jc w:val="left"/>
    </w:pPr>
    <w:rPr>
      <w:rFonts w:ascii="宋体" w:hAnsi="宋体"/>
      <w:color w:val="000000"/>
      <w:kern w:val="0"/>
      <w:sz w:val="18"/>
      <w:szCs w:val="18"/>
    </w:rPr>
  </w:style>
  <w:style w:type="character" w:styleId="13">
    <w:name w:val="page number"/>
    <w:basedOn w:val="12"/>
    <w:qFormat/>
    <w:uiPriority w:val="0"/>
  </w:style>
  <w:style w:type="character" w:styleId="14">
    <w:name w:val="FollowedHyperlink"/>
    <w:basedOn w:val="12"/>
    <w:qFormat/>
    <w:uiPriority w:val="0"/>
    <w:rPr>
      <w:color w:val="333333"/>
      <w:u w:val="none"/>
    </w:rPr>
  </w:style>
  <w:style w:type="character" w:styleId="15">
    <w:name w:val="Hyperlink"/>
    <w:basedOn w:val="12"/>
    <w:qFormat/>
    <w:uiPriority w:val="0"/>
    <w:rPr>
      <w:color w:val="333333"/>
      <w:u w:val="none"/>
    </w:rPr>
  </w:style>
  <w:style w:type="paragraph" w:customStyle="1" w:styleId="16">
    <w:name w:val="Default"/>
    <w:qFormat/>
    <w:uiPriority w:val="0"/>
    <w:pPr>
      <w:widowControl w:val="0"/>
      <w:autoSpaceDE w:val="0"/>
      <w:autoSpaceDN w:val="0"/>
      <w:adjustRightInd w:val="0"/>
    </w:pPr>
    <w:rPr>
      <w:rFonts w:ascii="黑体" w:hAnsi="Times New Roman" w:eastAsia="黑体" w:cs="黑体"/>
      <w:color w:val="000000"/>
      <w:sz w:val="24"/>
      <w:szCs w:val="24"/>
      <w:lang w:val="en-US" w:eastAsia="zh-CN" w:bidi="ar-SA"/>
    </w:rPr>
  </w:style>
  <w:style w:type="paragraph" w:customStyle="1" w:styleId="17">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2"/>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Hangyan\Application%20Data\Microsoft\Templates\&#24179;&#32423;&#21457;&#25991;.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平级发文.dot</Template>
  <Company>tjec</Company>
  <Pages>8</Pages>
  <Words>613</Words>
  <Characters>3499</Characters>
  <Lines>29</Lines>
  <Paragraphs>8</Paragraphs>
  <TotalTime>30</TotalTime>
  <ScaleCrop>false</ScaleCrop>
  <LinksUpToDate>false</LinksUpToDate>
  <CharactersWithSpaces>4104</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2018-03-20T06:22:00Z</dcterms:created>
  <dc:creator>办公室</dc:creator>
  <cp:lastModifiedBy>Admin</cp:lastModifiedBy>
  <cp:lastPrinted>2019-03-21T01:58:00Z</cp:lastPrinted>
  <dcterms:modified xsi:type="dcterms:W3CDTF">2021-05-21T07:47:37Z</dcterms:modified>
  <dc:title>津经[2003]号</dc:title>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2E921895083F4D6299D0BCBA50AD8D70</vt:lpwstr>
  </property>
</Properties>
</file>