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10" w:rsidRDefault="006642F8">
      <w:pPr>
        <w:framePr w:wrap="auto" w:yAlign="inline"/>
        <w:spacing w:line="560" w:lineRule="exact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附件</w:t>
      </w:r>
    </w:p>
    <w:p w:rsidR="00B06610" w:rsidRDefault="00B06610">
      <w:pPr>
        <w:framePr w:wrap="auto" w:yAlign="inline"/>
        <w:spacing w:line="560" w:lineRule="exact"/>
        <w:rPr>
          <w:rFonts w:ascii="华文仿宋" w:eastAsia="华文仿宋" w:hAnsi="华文仿宋" w:cs="华文仿宋" w:hint="default"/>
          <w:color w:val="auto"/>
          <w:sz w:val="32"/>
          <w:szCs w:val="32"/>
        </w:rPr>
      </w:pPr>
    </w:p>
    <w:p w:rsidR="00B06610" w:rsidRDefault="006642F8">
      <w:pPr>
        <w:framePr w:wrap="auto" w:yAlign="inline"/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color w:val="auto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TW"/>
        </w:rPr>
        <w:t>20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CN"/>
        </w:rPr>
        <w:t>2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TW" w:eastAsia="zh-TW"/>
        </w:rPr>
        <w:t>年天津市科学技术普及项目申报指南</w:t>
      </w:r>
    </w:p>
    <w:p w:rsidR="00B06610" w:rsidRDefault="00B06610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深入贯彻落</w:t>
      </w:r>
      <w:proofErr w:type="gramStart"/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</w:rPr>
        <w:t>平总书记关于科技创新、科学普及工作的重要论述精神，紧紧围绕天津市委、市政府关于深入推进全域科普的决策部署，扎实推进科学技术普及各项工作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制定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年天津市科学技术普及（以下简称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）项目申报指南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一、重点项目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proofErr w:type="gramStart"/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一</w:t>
      </w:r>
      <w:proofErr w:type="gramEnd"/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：天津市重大科技成果科普化示范项目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总体目标：推动我市重大科技成果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科普化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，将科技成果包含的知识、思想、方法、主要突破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实现意义等，向社会公众介绍推广，提高科技创新成果的普及程度。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申报条件：重点支持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2018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至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2020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年间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获得国家和市级科技奖励二等奖及以上的完成单位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（须上传获奖证明材料）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，将重大科技成果通过科普微视频、实物模型、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VR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体验、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科普宣传折页等通俗易懂、深入浅出的方式，面向社会公众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进行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广泛宣传、介绍和推广。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结合科技周等重大科普活动，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以线上线下相结合的方式，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组织不少于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次大型科普专题讲座或互动性科普活动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二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天津市科普微视频大赛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总体目标：广泛发动高校、科研院所、企业及社会力量，围绕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高新科技知识普及、科学原理展示、新冠肺炎疫情防控等主题，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制作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内容科学、形式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新颖、群众喜闻乐见的科普微视频作品，在全市广泛宣传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推广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发挥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微视频在科普传播中的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独特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具备组织举办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科普微视频大赛的能力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，能够征集到不少于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100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件科普微视频作品，并组织评选出知识丰富、创意新颖、制作精良的科普微视频作品，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制作不少于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200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套获奖作品光盘用于公益发放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三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天津市科普讲解大赛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总体目标：充分调动科技工作者、科普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讲解人员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、广大市民参与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科学普及工作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的积极性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，通过大赛培养和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选拔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一批优秀科普讲解人才，进一步提高我市科普人才队伍素质、提升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传播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能力和水平。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具备举办天津市科普讲解大赛的能力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，能够有效动员各高校、科研院所、中小学、科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lastRenderedPageBreak/>
        <w:t>普基地、科普场馆、企业专兼职讲解员及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社会人士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参加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征集不少于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名参赛选手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大赛设置自主命题讲解、随机命题讲解、科技常识问答等环节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，大赛期间围绕提升选手讲解能力组织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次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专业化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培训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在科技周等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能够组织获奖选手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走进学校、农村等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讲解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四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天津市科学实验展演大赛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总体目标：着力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激发科技工作者、科普工作者和爱好者、广大市民创作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科普剧、科学秀、科普小品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的热情，通过大赛选拔和推广一批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科学性、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艺术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性、观赏性强的优秀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科学实验展演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作品，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进一步丰富我市科普活动表现形式、扩大社会影响。择优推荐参加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申报条件：申报单位应具备举办天津市科学实验展演大赛的能力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，组织不少于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支队伍参赛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能够选拔培训优秀选手，帮助提升作品质量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组织获奖选手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在我市主要科普场馆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、市级科普基地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proofErr w:type="gramEnd"/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lastRenderedPageBreak/>
        <w:t>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五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优秀科普图书评选活动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总体目标：组织评选一批科学性、知识性、通俗性、趣味性强的优秀科普图书，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丰富我市科普图书市场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资源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，为加快普及科学知识、倡导科学方法、传播科学思想、弘扬科学精神创造条件。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申报条件：申报单位应具备组织天津市优秀科普图书评选活动的能力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，能够征集不少于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30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部我市出版社出版的原创科普图书，并组织专家评选出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部优秀科普图书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，以线上线下相结合的方式，面向广大市民开展优秀科普图书推介及公益推广活动。结合科普扶贫任务，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新疆等对口帮扶地区开展科普图书捐赠工作。科普图书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公益推广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总量不低于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1000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本。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二、一般项目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  <w:lang w:eastAsia="zh-TW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  <w:lang w:eastAsia="zh-TW"/>
        </w:rPr>
        <w:t>（一）科普研发项目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六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：科普基地服务能力建设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总体目标：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丰富和完善科普基地线上科普资源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设计开发基于科普基地特色的数字科普馆、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云展览、科普互动小程序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、网络科普资源包或系列科普微课堂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媒体功能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打造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互联网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+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lastRenderedPageBreak/>
        <w:t>科普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新模式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已有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稳定运营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持续更新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且关注量大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的官方微信公众号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，具备线上科普资源开发的能力和工作基础。申报时需提出创新性设计方案，完成开发正式上线后年访问量不低于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万人次；面向我市及对口帮扶地区开展不少于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3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次远程科普公益讲堂，线上科普资源辐射推广不少于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5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个学校、社区或农村。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本专题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仅限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2020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年天津市科普基地评估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中，评估等级为优秀的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天津市科普基地依托单位申报。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七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科普产品开发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应用及推广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运用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VR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AR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先进技术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手段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，针对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人工智能、航空航天、防灾减灾</w:t>
      </w:r>
      <w:r>
        <w:rPr>
          <w:rFonts w:ascii="仿宋_GB2312" w:eastAsia="仿宋_GB2312" w:hAnsi="仿宋_GB2312" w:cs="仿宋_GB2312" w:hint="default"/>
          <w:snapToGrid w:val="0"/>
          <w:color w:val="auto"/>
          <w:kern w:val="0"/>
          <w:sz w:val="32"/>
          <w:szCs w:val="32"/>
        </w:rPr>
        <w:t>、生态环保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等重点领域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青少年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等重点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人群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，开发用于传播科学知识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展示科学原理的科普产品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包括但不限于科普体验设备、互动演示设备、科普资源包等实物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类产品。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体现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特定科学原理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或科学方法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安全性高、可重复使用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优先支持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能够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科普产品展会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展示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具有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产业化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前景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具备科普产品研发能力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列出详细的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开发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方案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研发的产品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须主题明确、科学内涵丰富、通俗易懂，突出原创性、科学性、实用性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研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lastRenderedPageBreak/>
        <w:t>发完成后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能够在国家和市级重大科普活动或展会上进行成果展示，并深入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个学校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、社区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农村等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科普知识宣传和产品体验活动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产品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展示推广需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标注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科技局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科学技术普及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字样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。同等条件下优先支持匹配自筹资金的申报单位，匹配金额不限。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八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：科普工作专题研究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面向全市组织开展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科普数据统计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调查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内容包括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我市科普人员、科普场地、科普经费、科普传媒、科普活动等科普工作投入产出情况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为制定和完善科普政策提供参考和依据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基地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管理办法修订研究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，提出进一步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加强管理、充分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发挥科普基地作用的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政策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建议。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申报单位应具备组织全市科普数据统计调查的工作基础，能够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面向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区级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两级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有关部门及其直属事业单位、社会团体、科普基地等开展统计，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及时对数据进行对比分析，形成统计报告；能够对市级科普基地开展工作评估，发现存在问题，形成评估报告。申报时须提交科普统计工作方案和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基地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管理办法修订方案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 xml:space="preserve"> 10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</w:rPr>
        <w:t>（二）科普活动项目</w:t>
      </w:r>
    </w:p>
    <w:p w:rsidR="00B06610" w:rsidRDefault="006642F8" w:rsidP="00DC4EAA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lastRenderedPageBreak/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九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：科普宣传活动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征集范围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重点支持全市范围开展的、符合时代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特色和公众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需求的专题性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系列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科普活动。活动能够吸引社会各界广泛参与，受众面广，影响力大，对全市科普活动开展具有示范作用。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分为以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7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个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领域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A.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科技惠农科普宣传活动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现代农业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zh-TW"/>
        </w:rPr>
        <w:t>科技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知识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农民科学素养提升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方向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（包括但不限于，下同）。仅限科普基地依托单位申报；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B.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健康天津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新冠肺炎等传染病防控、食品安全、基本健康知识普及、地方病高发病防治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C.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高新技术科普宣传活动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。重点面向青少年群体，含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人工智能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（大数据、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区块链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等）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、航空航天、新能源新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材料等方向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;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D.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防灾减灾科普宣传活动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减灾、核辐射防护、安全生产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、应急救援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E.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生态文明科普宣传活动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野生动物保护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碳达峰碳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</w:rPr>
        <w:t>中和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F.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社区治理科普宣传活动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绿色环保生活方式、老年人群科普教育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；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G.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党史学习科普宣传活动。含党史知识专题宣传、建党</w:t>
      </w:r>
      <w:proofErr w:type="gramStart"/>
      <w:r>
        <w:rPr>
          <w:rFonts w:ascii="仿宋_GB2312" w:eastAsia="仿宋_GB2312" w:hAnsi="仿宋_GB2312" w:cs="仿宋_GB2312"/>
          <w:color w:val="auto"/>
          <w:sz w:val="32"/>
          <w:szCs w:val="32"/>
        </w:rPr>
        <w:t>百年迎</w:t>
      </w:r>
      <w:proofErr w:type="gramEnd"/>
      <w:r>
        <w:rPr>
          <w:rFonts w:ascii="仿宋_GB2312" w:eastAsia="仿宋_GB2312" w:hAnsi="仿宋_GB2312" w:cs="仿宋_GB2312"/>
          <w:color w:val="auto"/>
          <w:sz w:val="32"/>
          <w:szCs w:val="32"/>
        </w:rPr>
        <w:t>庆科普活动等方向。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申报要求：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可采取专题讲座、发放资料、互动体验、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知识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竞赛等多种形式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开展主题鲜明的科普宣传活动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（市科技局作为主办单位之一），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鼓励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设计制作科普展板、宣传折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lastRenderedPageBreak/>
        <w:t>页、记事本等宣传产品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用于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。申报时须在题目中加入专题编号，如“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XX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群体的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XX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专题科普宣传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A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除特殊说明外，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B06610" w:rsidRDefault="006642F8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万元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项。</w:t>
      </w:r>
    </w:p>
    <w:p w:rsidR="00B06610" w:rsidRDefault="00B06610">
      <w:pPr>
        <w:framePr w:wrap="auto" w:yAlign="inline"/>
        <w:spacing w:line="560" w:lineRule="exact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</w:p>
    <w:p w:rsidR="00B06610" w:rsidRDefault="00B06610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sectPr w:rsidR="00B06610" w:rsidSect="00B06610">
      <w:headerReference w:type="default" r:id="rId7"/>
      <w:footerReference w:type="default" r:id="rId8"/>
      <w:pgSz w:w="11900" w:h="16840"/>
      <w:pgMar w:top="2041" w:right="1559" w:bottom="1701" w:left="155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F8" w:rsidRDefault="006642F8" w:rsidP="00B06610">
      <w:pPr>
        <w:framePr w:wrap="around"/>
      </w:pPr>
      <w:r>
        <w:separator/>
      </w:r>
    </w:p>
  </w:endnote>
  <w:endnote w:type="continuationSeparator" w:id="0">
    <w:p w:rsidR="006642F8" w:rsidRDefault="006642F8" w:rsidP="00B06610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10" w:rsidRDefault="00B06610">
    <w:pPr>
      <w:pStyle w:val="a9"/>
      <w:framePr w:wrap="auto" w:yAlign="inline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F8" w:rsidRDefault="006642F8" w:rsidP="00B06610">
      <w:pPr>
        <w:framePr w:wrap="around"/>
      </w:pPr>
      <w:r>
        <w:separator/>
      </w:r>
    </w:p>
  </w:footnote>
  <w:footnote w:type="continuationSeparator" w:id="0">
    <w:p w:rsidR="006642F8" w:rsidRDefault="006642F8" w:rsidP="00B06610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10" w:rsidRDefault="00B06610">
    <w:pPr>
      <w:pStyle w:val="a9"/>
      <w:framePr w:wrap="auto" w:yAlign="inline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A6168"/>
    <w:rsid w:val="E7CD5C26"/>
    <w:rsid w:val="EDBEF79F"/>
    <w:rsid w:val="EE7F4502"/>
    <w:rsid w:val="EEF73CA6"/>
    <w:rsid w:val="EEFDEA2B"/>
    <w:rsid w:val="EF7DD6F3"/>
    <w:rsid w:val="EFBF5165"/>
    <w:rsid w:val="F3BF611C"/>
    <w:rsid w:val="F4FDD42D"/>
    <w:rsid w:val="F79F7843"/>
    <w:rsid w:val="F9338D48"/>
    <w:rsid w:val="FB02362D"/>
    <w:rsid w:val="FEFDD21F"/>
    <w:rsid w:val="FEFECD33"/>
    <w:rsid w:val="FF1E2DB1"/>
    <w:rsid w:val="FF3FC70B"/>
    <w:rsid w:val="FF737C46"/>
    <w:rsid w:val="FF794B8C"/>
    <w:rsid w:val="FFBEB343"/>
    <w:rsid w:val="FFBF9CCE"/>
    <w:rsid w:val="FFDF25CD"/>
    <w:rsid w:val="FFFFA6D3"/>
    <w:rsid w:val="0005517F"/>
    <w:rsid w:val="00336152"/>
    <w:rsid w:val="006642F8"/>
    <w:rsid w:val="006C7005"/>
    <w:rsid w:val="00A8331C"/>
    <w:rsid w:val="00B06610"/>
    <w:rsid w:val="00BA6168"/>
    <w:rsid w:val="00DC4EAA"/>
    <w:rsid w:val="00EF7FB3"/>
    <w:rsid w:val="00F53FC3"/>
    <w:rsid w:val="00FB246F"/>
    <w:rsid w:val="036111F3"/>
    <w:rsid w:val="04BC572A"/>
    <w:rsid w:val="15EE57E5"/>
    <w:rsid w:val="25FB77B9"/>
    <w:rsid w:val="29CD1614"/>
    <w:rsid w:val="2FDC495B"/>
    <w:rsid w:val="2FED758B"/>
    <w:rsid w:val="31FF8B9C"/>
    <w:rsid w:val="372D49EF"/>
    <w:rsid w:val="37A53480"/>
    <w:rsid w:val="37B7F6E1"/>
    <w:rsid w:val="37EFA966"/>
    <w:rsid w:val="3BDDA6CE"/>
    <w:rsid w:val="3BF5705E"/>
    <w:rsid w:val="3FB7513C"/>
    <w:rsid w:val="3FBFAD82"/>
    <w:rsid w:val="3FFDADA1"/>
    <w:rsid w:val="46514499"/>
    <w:rsid w:val="47E7B203"/>
    <w:rsid w:val="4BBF5E35"/>
    <w:rsid w:val="4EFD9DAB"/>
    <w:rsid w:val="52FDA1D6"/>
    <w:rsid w:val="540958EB"/>
    <w:rsid w:val="54EF2561"/>
    <w:rsid w:val="5B8851C7"/>
    <w:rsid w:val="5C7FA119"/>
    <w:rsid w:val="5CDDA097"/>
    <w:rsid w:val="5DA731C4"/>
    <w:rsid w:val="61EABC54"/>
    <w:rsid w:val="61F6228C"/>
    <w:rsid w:val="639E9D9E"/>
    <w:rsid w:val="63D786ED"/>
    <w:rsid w:val="65AA3E06"/>
    <w:rsid w:val="66F6596F"/>
    <w:rsid w:val="6E4FEB4A"/>
    <w:rsid w:val="6F9355D3"/>
    <w:rsid w:val="6FD041A3"/>
    <w:rsid w:val="6FE532BE"/>
    <w:rsid w:val="706347F3"/>
    <w:rsid w:val="717BBE33"/>
    <w:rsid w:val="71D46022"/>
    <w:rsid w:val="73DD1F39"/>
    <w:rsid w:val="75BF0DAC"/>
    <w:rsid w:val="75CD09D8"/>
    <w:rsid w:val="7D7F7FC5"/>
    <w:rsid w:val="7DEEB88D"/>
    <w:rsid w:val="7EE675E2"/>
    <w:rsid w:val="7F7690EF"/>
    <w:rsid w:val="7FFBB6EC"/>
    <w:rsid w:val="8BFD8182"/>
    <w:rsid w:val="9F61D9C7"/>
    <w:rsid w:val="9F6F2E6F"/>
    <w:rsid w:val="A2FF9BF3"/>
    <w:rsid w:val="A4EED8C9"/>
    <w:rsid w:val="AD782498"/>
    <w:rsid w:val="AEDF6541"/>
    <w:rsid w:val="B5BB4419"/>
    <w:rsid w:val="BB1F1638"/>
    <w:rsid w:val="BB6EDEAB"/>
    <w:rsid w:val="BBFF6678"/>
    <w:rsid w:val="BCFFE54F"/>
    <w:rsid w:val="BDF8BA86"/>
    <w:rsid w:val="BE4184E0"/>
    <w:rsid w:val="BE5B50D8"/>
    <w:rsid w:val="CCFDD705"/>
    <w:rsid w:val="CE7F119E"/>
    <w:rsid w:val="CE9D7926"/>
    <w:rsid w:val="CF7FA0C4"/>
    <w:rsid w:val="D57D41BB"/>
    <w:rsid w:val="D6FFD0B6"/>
    <w:rsid w:val="DACF218C"/>
    <w:rsid w:val="DF3F19FB"/>
    <w:rsid w:val="DFFF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6610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06610"/>
    <w:pPr>
      <w:framePr w:wrap="around"/>
      <w:jc w:val="center"/>
    </w:pPr>
    <w:rPr>
      <w:rFonts w:ascii="Times New Roman" w:eastAsia="宋体"/>
      <w:sz w:val="44"/>
      <w:szCs w:val="20"/>
    </w:rPr>
  </w:style>
  <w:style w:type="paragraph" w:styleId="a4">
    <w:name w:val="footer"/>
    <w:basedOn w:val="a"/>
    <w:qFormat/>
    <w:rsid w:val="00B0661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B0661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06610"/>
    <w:pPr>
      <w:framePr w:wrap="around"/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B06610"/>
    <w:rPr>
      <w:b/>
    </w:rPr>
  </w:style>
  <w:style w:type="character" w:styleId="a8">
    <w:name w:val="Hyperlink"/>
    <w:qFormat/>
    <w:rsid w:val="00B06610"/>
    <w:rPr>
      <w:u w:val="single"/>
    </w:rPr>
  </w:style>
  <w:style w:type="table" w:customStyle="1" w:styleId="TableNormal">
    <w:name w:val="Table Normal"/>
    <w:qFormat/>
    <w:rsid w:val="00B06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rsid w:val="00B06610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Char">
    <w:name w:val="页眉 Char"/>
    <w:basedOn w:val="a1"/>
    <w:link w:val="a5"/>
    <w:qFormat/>
    <w:rsid w:val="00B06610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2021-04-08T10:55:00Z</cp:lastPrinted>
  <dcterms:created xsi:type="dcterms:W3CDTF">2021-04-12T09:19:00Z</dcterms:created>
  <dcterms:modified xsi:type="dcterms:W3CDTF">2021-04-12T09:19:00Z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