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  <w:bookmarkStart w:id="1" w:name="_GoBack"/>
      <w:bookmarkEnd w:id="1"/>
    </w:p>
    <w:p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36"/>
          <w:szCs w:val="36"/>
        </w:rPr>
        <w:t>(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2020年</w:t>
      </w:r>
      <w:r>
        <w:rPr>
          <w:rFonts w:hint="eastAsia" w:ascii="黑体" w:hAnsi="黑体" w:eastAsia="黑体" w:cs="黑体"/>
          <w:sz w:val="36"/>
          <w:szCs w:val="36"/>
        </w:rPr>
        <w:t>跨行业跨领域工业互联网平台)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申报企业基本信息</w:t>
      </w:r>
    </w:p>
    <w:tbl>
      <w:tblPr>
        <w:tblStyle w:val="5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7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组织机构代码</w:t>
            </w:r>
          </w:p>
        </w:tc>
        <w:tc>
          <w:tcPr>
            <w:tcW w:w="4083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单位地址</w:t>
            </w:r>
          </w:p>
        </w:tc>
        <w:tc>
          <w:tcPr>
            <w:tcW w:w="7685" w:type="dxa"/>
            <w:gridSpan w:val="5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传真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总资产（万元）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负债率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信用等级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上年销售（万元）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上年税金（万元）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上年利润（万元）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简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（限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1000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字）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（一）申报单位情况介绍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（二）申报单位核心竞争力介绍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真实性承诺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推荐单位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ind w:firstLine="480" w:firstLineChars="20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同意推荐该单位申报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跨行业跨领域工业互联网平台。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推荐单位公章：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工业互联网平台申报材料</w:t>
      </w:r>
    </w:p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）工业互联网平台基本信息</w:t>
      </w:r>
    </w:p>
    <w:tbl>
      <w:tblPr>
        <w:tblStyle w:val="5"/>
        <w:tblW w:w="86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□合作共建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请注明合作企业名称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IaaS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□租用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请注明服务商名称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</w:tbl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）工业互联网平台能力介绍</w:t>
      </w:r>
    </w:p>
    <w:tbl>
      <w:tblPr>
        <w:tblStyle w:val="5"/>
        <w:tblW w:w="86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1.1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工业设备连接能力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□可连接的工业设备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产线种类及数量：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运行设备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套；加工设备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行走设备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套；其他设备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□工业协议兼容适配数量：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□其他：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补充说明和分类详细介绍（具体接入及管理的工业设备类型及数量，可兼容的工业协议种类等）：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1.2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工业模型沉淀数量：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□工业模型数量：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研发仿真模型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个；业务流程模型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行业机理模型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个；数据算法模型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补充说明和分类详细介绍（具体禀赋的工业机理模型）：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1.3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平台微服务数量与开发者数量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□微服务组件数量：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（微服务：将工业应用分解为小的服务模块进行独立开发，一个微服务解决一个业务问题）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补充说明和分类详细介绍（具体的微服务组件类型）：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平台开发者数量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□第三方开发者注册总数：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□第三方活跃开发者数：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（活跃开发者为每天至少登陆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次平台的开发者）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补充说明和分类详细介绍（每类开发者具体调用了什么工具包、算法模型和微服务）：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1.5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工业软件禀赋数量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□工业软件总量：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其中，云化软件数量：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新型工业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left="960" w:hanging="960" w:hangingChars="4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订阅次数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总收入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指基于工业互联网平台，承载工业知识和经验，满足特定需求的工业应用软件）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种类：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安全生产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节能减排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质量管控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供应链管理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研发设计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生产制造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运营管理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仓储物流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运维服务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补充说明和分类详细介绍（具体的工业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1.6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服务企业数量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□注册企业用户数：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个，其中制造企业数：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□付费企业数：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□服务企业数中的中小企业服务数量：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补充说明和分类详细介绍（具体服务的工业企业类型，平台提供了什么产品或服务）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bookmarkStart w:id="0" w:name="_Hlk44153100"/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2.1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提供解决方案能力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□提供的解决方案数量：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□覆盖的行业数量：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（行业分类包括煤炭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黑色金属矿开采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石油天然气开采、黑色金属、有色金属、石化化工、建材、医药、纺织、家电、食品、烟草、轻工、机械、汽车、航空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□覆盖的领域数量：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个（领域数量是指安全生产、节能减排、质量管控、供应链管理、研发设计、生产制造、运营管理、仓储物流、运维服务九大重点领域）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□解决方案累计工业设备连接数量：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□解决方案累计工业模型沉淀数量：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孵化数量：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□解决方案累计覆盖用户数量：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□运用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5G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、大数据、人工智能、区块链、工业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AR/VR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技术：□是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□解决方案累计对企业新增效益：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□解决方案累计对企业降低成本：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补充说明和分类详细介绍（具体的解决方案模型）：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平台基础支撑能力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案例具体说明和详细介绍（重大事件主要指疫情防控、支撑复产复工以及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六稳六保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案例）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战略保障机制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□平台是否被纳入企业战略规划中：□是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□平台是否为独立公司运营：□是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□是否主导举办过平台、工业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、工业大数据创新竞赛：□是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安全可靠水平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□具有设备和数据接入安全防护手段：□是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□具有数据安全防护：□是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□具有代码安全防护：□是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□具有应用安全防护：□是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□具有访问安全防护：□是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□平台核心软硬件技术获得的专利数量：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□平台核心软硬件技术获得的软著数量：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□平台是否融合使用国家标识解析系统：□是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4.3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投资回报潜力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年平台相关的运营成本：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□投资回报率：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___________%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□企业已上市或已获得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VC/PE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投资：□是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）工业互联网平台应用案例和效果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</w:t>
            </w:r>
            <w:r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个平台解决方案功能及其在具体用户企业中的应用案例：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）工业互联网平台区域落地情况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）工业互联网平台技术架构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工业互联网平台的技术架构及方案介绍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（包含但不限于平台业务框架、功能架构、技术架构、实施架构等）（限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2500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6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）工业互联网平台下一步发展计划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工业互联网平台下一步研发和运营计划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（包含但不限于技术创新、产品升级、产业合作、商业模式拓展等）（限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7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）其他说明材料</w:t>
      </w:r>
    </w:p>
    <w:tbl>
      <w:tblPr>
        <w:tblStyle w:val="5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u w:val="single"/>
              </w:rPr>
              <w:t>材料清单（作为附件放后）：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工业设备清单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工业模型及微服务清单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4: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平台解决方案清单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5: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平台服务企业清单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6: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财务报表等其他相关材料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…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（注：附件包括但不限于客户服务合同、能够体现工业互联网平台运营情况的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财务报告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、产品专利和知识产权证书、申报通知发布日期前系统和软件运行日志等证明材料，以及企业运营资质等相关支撑材料）</w:t>
            </w:r>
          </w:p>
        </w:tc>
      </w:tr>
    </w:tbl>
    <w:p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</w:t>
      </w:r>
      <w:r>
        <w:rPr>
          <w:rFonts w:hint="eastAsia" w:ascii="宋体" w:hAnsi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3.表格中带</w:t>
      </w:r>
      <w:r>
        <w:rPr>
          <w:rFonts w:hint="eastAsia" w:ascii="宋体" w:hAnsi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</w:pPr>
      <w:r>
        <w:rPr>
          <w:rFonts w:hint="eastAsia" w:ascii="宋体" w:hAnsi="宋体" w:cs="宋体"/>
          <w:bCs/>
          <w:sz w:val="24"/>
          <w:szCs w:val="24"/>
        </w:rPr>
        <w:t>5.申报主体相关资质如为联合体单位时应使用牵头单位资质。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5CF1"/>
    <w:rsid w:val="1308085A"/>
    <w:rsid w:val="49241120"/>
    <w:rsid w:val="5CB85CF1"/>
    <w:rsid w:val="68AA71DE"/>
    <w:rsid w:val="6CE131B6"/>
    <w:rsid w:val="6DF317ED"/>
    <w:rsid w:val="70224786"/>
    <w:rsid w:val="71683AFB"/>
    <w:rsid w:val="78681CCF"/>
    <w:rsid w:val="7D9D50E9"/>
    <w:rsid w:val="7F3811FD"/>
    <w:rsid w:val="7F8B0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2020-10-19T00:45:00Z</dcterms:created>
  <dc:creator>顾建萍</dc:creator>
  <cp:lastModifiedBy>hp</cp:lastModifiedBy>
  <cp:lastPrinted>2020-10-26T06:32:55Z</cp:lastPrinted>
  <dcterms:modified xsi:type="dcterms:W3CDTF">2020-10-26T06:42:07Z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