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hint="eastAsia" w:ascii="黑体" w:hAnsi="黑体" w:eastAsia="黑体" w:cs="黑体"/>
          <w:color w:val="auto"/>
          <w:sz w:val="36"/>
          <w:szCs w:val="36"/>
        </w:rPr>
      </w:pPr>
      <w:bookmarkStart w:id="0" w:name="_GoBack"/>
      <w:bookmarkEnd w:id="0"/>
      <w:r>
        <w:rPr>
          <w:rFonts w:hint="eastAsia" w:ascii="黑体" w:hAnsi="黑体" w:eastAsia="黑体" w:cs="黑体"/>
          <w:color w:val="auto"/>
          <w:sz w:val="36"/>
          <w:szCs w:val="36"/>
        </w:rPr>
        <w:t>工业控制系统信息安全事件应急管理工作指南</w:t>
      </w:r>
    </w:p>
    <w:p>
      <w:pPr>
        <w:spacing w:line="360" w:lineRule="auto"/>
        <w:ind w:firstLine="720" w:firstLineChars="200"/>
        <w:jc w:val="center"/>
        <w:rPr>
          <w:rFonts w:hint="eastAsia" w:ascii="仿宋" w:hAnsi="仿宋" w:eastAsia="仿宋" w:cs="仿宋"/>
          <w:color w:val="auto"/>
          <w:sz w:val="32"/>
          <w:szCs w:val="32"/>
        </w:rPr>
      </w:pPr>
    </w:p>
    <w:p>
      <w:pPr>
        <w:spacing w:line="360" w:lineRule="auto"/>
        <w:jc w:val="center"/>
        <w:outlineLvl w:val="0"/>
        <w:rPr>
          <w:rFonts w:hint="eastAsia" w:ascii="黑体" w:hAnsi="黑体" w:eastAsia="黑体" w:cs="黑体"/>
          <w:b/>
          <w:color w:val="auto"/>
          <w:sz w:val="32"/>
          <w:szCs w:val="32"/>
        </w:rPr>
      </w:pPr>
      <w:r>
        <w:rPr>
          <w:rFonts w:hint="eastAsia" w:ascii="黑体" w:hAnsi="黑体" w:eastAsia="黑体" w:cs="黑体"/>
          <w:color w:val="auto"/>
          <w:sz w:val="32"/>
          <w:szCs w:val="32"/>
        </w:rPr>
        <w:t>第一章  总  则</w:t>
      </w:r>
    </w:p>
    <w:p>
      <w:pPr>
        <w:spacing w:line="360" w:lineRule="auto"/>
        <w:ind w:firstLine="627" w:firstLineChars="196"/>
        <w:rPr>
          <w:rFonts w:hint="eastAsia" w:ascii="仿宋" w:hAnsi="仿宋" w:eastAsia="仿宋" w:cs="仿宋"/>
          <w:color w:val="auto"/>
          <w:sz w:val="32"/>
          <w:szCs w:val="32"/>
        </w:rPr>
      </w:pPr>
      <w:r>
        <w:rPr>
          <w:rFonts w:hint="eastAsia" w:ascii="仿宋" w:hAnsi="仿宋" w:eastAsia="仿宋" w:cs="仿宋"/>
          <w:color w:val="auto"/>
          <w:sz w:val="32"/>
          <w:szCs w:val="32"/>
        </w:rPr>
        <w:t>第一条 为加强工业控制系统信息安全（以下简称工控安全）应急工作管理，建立健全工控安全应急工作机制，提高应对工控安全事件的组织协调和应急处置能力，预防和减少工控安全事件造成的损失和危害，保障工业生产正常运行，维护国家经济安全和人民生命财产安全,依据《中华人民共和国突发事件应对法》《中华人民共和国网络安全法》以及《国务院关于深化制造业与互联网融合发展的指导意见》等法规政策，制定本指南。</w:t>
      </w:r>
    </w:p>
    <w:p>
      <w:pPr>
        <w:spacing w:line="360" w:lineRule="auto"/>
        <w:ind w:firstLine="627" w:firstLineChars="196"/>
        <w:rPr>
          <w:rFonts w:hint="eastAsia" w:ascii="仿宋" w:hAnsi="仿宋" w:eastAsia="仿宋" w:cs="仿宋"/>
          <w:color w:val="auto"/>
          <w:sz w:val="32"/>
          <w:szCs w:val="32"/>
        </w:rPr>
      </w:pPr>
      <w:r>
        <w:rPr>
          <w:rFonts w:hint="eastAsia" w:ascii="仿宋" w:hAnsi="仿宋" w:eastAsia="仿宋" w:cs="仿宋"/>
          <w:color w:val="auto"/>
          <w:sz w:val="32"/>
          <w:szCs w:val="32"/>
        </w:rPr>
        <w:t>第二条 本指南适用于工业和信息化主管部门、工业企业开展工控安全应急管理工作。</w:t>
      </w:r>
    </w:p>
    <w:p>
      <w:pPr>
        <w:spacing w:line="360" w:lineRule="auto"/>
        <w:ind w:firstLine="627" w:firstLineChars="196"/>
        <w:rPr>
          <w:rFonts w:hint="eastAsia" w:ascii="仿宋" w:hAnsi="仿宋" w:eastAsia="仿宋" w:cs="仿宋"/>
          <w:color w:val="auto"/>
          <w:sz w:val="32"/>
          <w:szCs w:val="32"/>
        </w:rPr>
      </w:pPr>
      <w:r>
        <w:rPr>
          <w:rFonts w:hint="eastAsia" w:ascii="仿宋" w:hAnsi="仿宋" w:eastAsia="仿宋" w:cs="仿宋"/>
          <w:color w:val="auto"/>
          <w:sz w:val="32"/>
          <w:szCs w:val="32"/>
        </w:rPr>
        <w:t>第三条 工控安全事件是指由于人为、软硬件缺陷或故障、自然灾害等原因，对工业控制系统、工业控制系统数据造成或者可能造成严重危害，影响正常工业生产的事件。</w:t>
      </w:r>
    </w:p>
    <w:p>
      <w:pPr>
        <w:spacing w:line="360" w:lineRule="auto"/>
        <w:ind w:firstLine="627" w:firstLineChars="196"/>
        <w:rPr>
          <w:rFonts w:hint="eastAsia" w:ascii="仿宋" w:hAnsi="仿宋" w:eastAsia="仿宋" w:cs="仿宋"/>
          <w:color w:val="auto"/>
          <w:sz w:val="32"/>
          <w:szCs w:val="32"/>
        </w:rPr>
      </w:pPr>
      <w:r>
        <w:rPr>
          <w:rFonts w:hint="eastAsia" w:ascii="仿宋" w:hAnsi="仿宋" w:eastAsia="仿宋" w:cs="仿宋"/>
          <w:color w:val="auto"/>
          <w:sz w:val="32"/>
          <w:szCs w:val="32"/>
        </w:rPr>
        <w:t>第四条 坚持政府指导、企业主体，坚持预防为主、平战结合，坚持快速反应、科学处置，充分发挥各方力量，共同做好工控安全事件的预防和处置工作。</w:t>
      </w:r>
    </w:p>
    <w:p>
      <w:pPr>
        <w:spacing w:line="360" w:lineRule="auto"/>
        <w:ind w:firstLine="627" w:firstLineChars="196"/>
        <w:rPr>
          <w:rFonts w:hint="eastAsia" w:ascii="仿宋" w:hAnsi="仿宋" w:eastAsia="仿宋" w:cs="仿宋"/>
          <w:color w:val="auto"/>
          <w:sz w:val="32"/>
          <w:szCs w:val="32"/>
        </w:rPr>
      </w:pPr>
    </w:p>
    <w:p>
      <w:pPr>
        <w:spacing w:line="360" w:lineRule="auto"/>
        <w:jc w:val="center"/>
        <w:outlineLvl w:val="0"/>
        <w:rPr>
          <w:rFonts w:hint="eastAsia" w:ascii="黑体" w:hAnsi="黑体" w:eastAsia="黑体" w:cs="黑体"/>
          <w:color w:val="auto"/>
          <w:sz w:val="32"/>
          <w:szCs w:val="32"/>
        </w:rPr>
      </w:pPr>
      <w:r>
        <w:rPr>
          <w:rFonts w:hint="eastAsia" w:ascii="黑体" w:hAnsi="黑体" w:eastAsia="黑体" w:cs="黑体"/>
          <w:color w:val="auto"/>
          <w:sz w:val="32"/>
          <w:szCs w:val="32"/>
        </w:rPr>
        <w:t>第二章  组织机构与职责</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第五条 工业和信息化部指导地方工业和信息化主管部门、应急技术机构、工业企业做好工控安全应急管理工作。</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第六条 地方工业和信息化主管部门负责指导本地区工控安全应急管理工作。</w:t>
      </w:r>
    </w:p>
    <w:p>
      <w:pPr>
        <w:spacing w:line="360" w:lineRule="auto"/>
        <w:ind w:firstLine="645"/>
        <w:rPr>
          <w:rFonts w:hint="eastAsia" w:ascii="仿宋" w:hAnsi="仿宋" w:eastAsia="仿宋" w:cs="仿宋"/>
          <w:color w:val="auto"/>
          <w:sz w:val="32"/>
          <w:szCs w:val="32"/>
        </w:rPr>
      </w:pPr>
      <w:r>
        <w:rPr>
          <w:rFonts w:hint="eastAsia" w:ascii="仿宋" w:hAnsi="仿宋" w:eastAsia="仿宋" w:cs="仿宋"/>
          <w:color w:val="auto"/>
          <w:sz w:val="32"/>
          <w:szCs w:val="32"/>
        </w:rPr>
        <w:t>第七条 工控安全应急技术机构负责具体开展工控安全风险监测、态势研判、威胁预警、事件处置等工作。</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第八条 工业企业负有工控安全主体责任，应建立健全工控安全责任制，负责本单位工控安全应急管理工作，落实人财物保障。</w:t>
      </w:r>
    </w:p>
    <w:p>
      <w:pPr>
        <w:spacing w:line="360" w:lineRule="auto"/>
        <w:ind w:firstLine="640" w:firstLineChars="200"/>
        <w:rPr>
          <w:rFonts w:hint="eastAsia" w:ascii="仿宋" w:hAnsi="仿宋" w:eastAsia="仿宋" w:cs="仿宋"/>
          <w:color w:val="auto"/>
          <w:sz w:val="32"/>
          <w:szCs w:val="32"/>
        </w:rPr>
      </w:pPr>
    </w:p>
    <w:p>
      <w:pPr>
        <w:spacing w:line="360" w:lineRule="auto"/>
        <w:jc w:val="center"/>
        <w:outlineLvl w:val="0"/>
        <w:rPr>
          <w:rFonts w:hint="eastAsia" w:ascii="黑体" w:hAnsi="黑体" w:eastAsia="黑体" w:cs="黑体"/>
          <w:color w:val="auto"/>
          <w:sz w:val="32"/>
          <w:szCs w:val="32"/>
        </w:rPr>
      </w:pPr>
      <w:r>
        <w:rPr>
          <w:rFonts w:hint="eastAsia" w:ascii="黑体" w:hAnsi="黑体" w:eastAsia="黑体" w:cs="黑体"/>
          <w:color w:val="auto"/>
          <w:sz w:val="32"/>
          <w:szCs w:val="32"/>
        </w:rPr>
        <w:t>第三章  工作机制</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第九条 工业和信息化部指导地方工业和信息化主管部门、应急技术机构、工业企业等建立工控安全联络员机制，指定工控安全应急工作联络员，报工业和信息化部备案，联络员和联络方式发生变化时需及时报工业和信息化部。工业和信息化部根据工作需要组织召开联络员会议。</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第十条 地方工业和信息化主管部门指导本地区应急技术机构、工业企业建立工控安全应急值守机制，实行领导带班、专人值守工作制度，做好工控安全风险、威胁、事件信息日常监测和报告工作。应急响应状态下，实行“7×24”小时值守，加强信息监测、收集与研判，做好信息跟踪报告。</w:t>
      </w:r>
    </w:p>
    <w:p>
      <w:pPr>
        <w:spacing w:line="360" w:lineRule="auto"/>
        <w:ind w:firstLine="640" w:firstLineChars="200"/>
        <w:rPr>
          <w:rFonts w:hint="eastAsia" w:ascii="仿宋" w:hAnsi="仿宋" w:eastAsia="仿宋" w:cs="仿宋"/>
          <w:color w:val="auto"/>
          <w:sz w:val="32"/>
          <w:szCs w:val="32"/>
        </w:rPr>
      </w:pPr>
    </w:p>
    <w:p>
      <w:pPr>
        <w:spacing w:line="360" w:lineRule="auto"/>
        <w:jc w:val="center"/>
        <w:outlineLvl w:val="0"/>
        <w:rPr>
          <w:rFonts w:hint="eastAsia" w:ascii="黑体" w:hAnsi="黑体" w:eastAsia="黑体" w:cs="黑体"/>
          <w:color w:val="auto"/>
          <w:sz w:val="32"/>
          <w:szCs w:val="32"/>
        </w:rPr>
      </w:pPr>
      <w:r>
        <w:rPr>
          <w:rFonts w:hint="eastAsia" w:ascii="黑体" w:hAnsi="黑体" w:eastAsia="黑体" w:cs="黑体"/>
          <w:color w:val="auto"/>
          <w:sz w:val="32"/>
          <w:szCs w:val="32"/>
        </w:rPr>
        <w:t>第四章  监测通报</w:t>
      </w:r>
    </w:p>
    <w:p>
      <w:pPr>
        <w:spacing w:line="360" w:lineRule="auto"/>
        <w:ind w:firstLine="627" w:firstLineChars="196"/>
        <w:rPr>
          <w:rFonts w:hint="eastAsia" w:ascii="仿宋" w:hAnsi="仿宋" w:eastAsia="仿宋" w:cs="仿宋"/>
          <w:color w:val="auto"/>
          <w:sz w:val="32"/>
          <w:szCs w:val="32"/>
        </w:rPr>
      </w:pPr>
      <w:r>
        <w:rPr>
          <w:rFonts w:hint="eastAsia" w:ascii="仿宋" w:hAnsi="仿宋" w:eastAsia="仿宋" w:cs="仿宋"/>
          <w:color w:val="auto"/>
          <w:sz w:val="32"/>
          <w:szCs w:val="32"/>
        </w:rPr>
        <w:t>第十一条 工业和信息化部指导国家工业信息安全发展研究中心等技术机构，组织开展全国工控安全风险监测、预警通报等工作，提升情报搜集、态势分析、风险评估和信息共享能力。</w:t>
      </w:r>
    </w:p>
    <w:p>
      <w:pPr>
        <w:spacing w:line="360" w:lineRule="auto"/>
        <w:ind w:firstLine="627" w:firstLineChars="196"/>
        <w:rPr>
          <w:rFonts w:hint="eastAsia" w:ascii="仿宋" w:hAnsi="仿宋" w:eastAsia="仿宋" w:cs="仿宋"/>
          <w:color w:val="auto"/>
          <w:sz w:val="32"/>
          <w:szCs w:val="32"/>
        </w:rPr>
      </w:pPr>
      <w:r>
        <w:rPr>
          <w:rFonts w:hint="eastAsia" w:ascii="仿宋" w:hAnsi="仿宋" w:eastAsia="仿宋" w:cs="仿宋"/>
          <w:color w:val="auto"/>
          <w:sz w:val="32"/>
          <w:szCs w:val="32"/>
        </w:rPr>
        <w:t>地方工业和信息化主管部门组织开展本地区工控安全风险监测工作。工业企业组织开展本单位工控安全风险监测工作。</w:t>
      </w:r>
    </w:p>
    <w:p>
      <w:pPr>
        <w:spacing w:line="360" w:lineRule="auto"/>
        <w:ind w:firstLine="627" w:firstLineChars="196"/>
        <w:rPr>
          <w:rFonts w:hint="eastAsia" w:ascii="仿宋" w:hAnsi="仿宋" w:eastAsia="仿宋" w:cs="仿宋"/>
          <w:color w:val="auto"/>
          <w:sz w:val="32"/>
          <w:szCs w:val="32"/>
        </w:rPr>
      </w:pPr>
      <w:r>
        <w:rPr>
          <w:rFonts w:hint="eastAsia" w:ascii="仿宋" w:hAnsi="仿宋" w:eastAsia="仿宋" w:cs="仿宋"/>
          <w:color w:val="auto"/>
          <w:sz w:val="32"/>
          <w:szCs w:val="32"/>
        </w:rPr>
        <w:t>第十二条 地方工业和信息化主管部门、工业企业定期将重要监测信息报国家工业信息安全发展研究中心，国家工业信息安全发展研究中心负责汇总、整理和研判，并将结果报工业和信息化部；针对可能超出本地区应对能力范围的安全风险和事件信息，及时上报，必要时工业和信息化部协调应急技术机构提供支持。</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第十三条 工业和信息化部对可能影响我国工业控制系统的重大漏洞和风险，及时向有关行业、地区和工业企业发布情况通报。</w:t>
      </w:r>
    </w:p>
    <w:p>
      <w:pPr>
        <w:spacing w:line="360" w:lineRule="auto"/>
        <w:ind w:firstLine="640" w:firstLineChars="200"/>
        <w:rPr>
          <w:rFonts w:hint="eastAsia" w:ascii="仿宋" w:hAnsi="仿宋" w:eastAsia="仿宋" w:cs="仿宋"/>
          <w:color w:val="auto"/>
          <w:sz w:val="32"/>
          <w:szCs w:val="32"/>
        </w:rPr>
      </w:pPr>
    </w:p>
    <w:p>
      <w:pPr>
        <w:spacing w:line="360" w:lineRule="auto"/>
        <w:jc w:val="center"/>
        <w:outlineLvl w:val="0"/>
        <w:rPr>
          <w:rFonts w:hint="eastAsia" w:ascii="黑体" w:hAnsi="黑体" w:eastAsia="黑体" w:cs="黑体"/>
          <w:color w:val="auto"/>
          <w:sz w:val="32"/>
          <w:szCs w:val="32"/>
        </w:rPr>
      </w:pPr>
      <w:r>
        <w:rPr>
          <w:rFonts w:hint="eastAsia" w:ascii="黑体" w:hAnsi="黑体" w:eastAsia="黑体" w:cs="黑体"/>
          <w:color w:val="auto"/>
          <w:sz w:val="32"/>
          <w:szCs w:val="32"/>
        </w:rPr>
        <w:t>第五章  敏感时期应急管理</w:t>
      </w:r>
    </w:p>
    <w:p>
      <w:pPr>
        <w:spacing w:line="360" w:lineRule="auto"/>
        <w:ind w:firstLine="660"/>
        <w:rPr>
          <w:rFonts w:hint="eastAsia" w:ascii="仿宋" w:hAnsi="仿宋" w:eastAsia="仿宋" w:cs="仿宋"/>
          <w:color w:val="auto"/>
          <w:sz w:val="32"/>
          <w:szCs w:val="32"/>
        </w:rPr>
      </w:pPr>
      <w:r>
        <w:rPr>
          <w:rFonts w:hint="eastAsia" w:ascii="仿宋" w:hAnsi="仿宋" w:eastAsia="仿宋" w:cs="仿宋"/>
          <w:color w:val="auto"/>
          <w:sz w:val="32"/>
          <w:szCs w:val="32"/>
        </w:rPr>
        <w:t>第十四条 在国家重要活动、会议等敏感时期，工业和信息化部指导地方工业和信息化主管部门、应急技术机构、工业企业开展工控安全事件预防和应急管理工作。</w:t>
      </w:r>
    </w:p>
    <w:p>
      <w:pPr>
        <w:spacing w:line="360" w:lineRule="auto"/>
        <w:ind w:firstLine="660"/>
        <w:rPr>
          <w:rFonts w:hint="eastAsia" w:ascii="仿宋" w:hAnsi="仿宋" w:eastAsia="仿宋" w:cs="仿宋"/>
          <w:color w:val="auto"/>
          <w:sz w:val="32"/>
          <w:szCs w:val="32"/>
        </w:rPr>
      </w:pPr>
      <w:r>
        <w:rPr>
          <w:rFonts w:hint="eastAsia" w:ascii="仿宋" w:hAnsi="仿宋" w:eastAsia="仿宋" w:cs="仿宋"/>
          <w:color w:val="auto"/>
          <w:sz w:val="32"/>
          <w:szCs w:val="32"/>
        </w:rPr>
        <w:t>第十五条 地方工业和信息化主管部门、工业企业加强工控安全监测和风险研判，对可能造成重大影响的风险和事件信息应及时上报，必要时实行24小时零报告制度。重点单位、重要部位实施24小时值守，保持通信联络畅通。相关工业企业应加强对工业控制系统的巡检巡查，原则上不在敏感时期对工业控制系统进行调整或升级。</w:t>
      </w:r>
    </w:p>
    <w:p>
      <w:pPr>
        <w:spacing w:line="360" w:lineRule="auto"/>
        <w:ind w:firstLine="660"/>
        <w:rPr>
          <w:rFonts w:hint="eastAsia" w:ascii="仿宋" w:hAnsi="仿宋" w:eastAsia="仿宋" w:cs="仿宋"/>
          <w:color w:val="auto"/>
          <w:sz w:val="32"/>
          <w:szCs w:val="32"/>
        </w:rPr>
      </w:pPr>
    </w:p>
    <w:p>
      <w:pPr>
        <w:spacing w:line="360" w:lineRule="auto"/>
        <w:jc w:val="center"/>
        <w:outlineLvl w:val="0"/>
        <w:rPr>
          <w:rFonts w:hint="eastAsia" w:ascii="黑体" w:hAnsi="黑体" w:eastAsia="黑体" w:cs="黑体"/>
          <w:color w:val="auto"/>
          <w:sz w:val="32"/>
          <w:szCs w:val="32"/>
        </w:rPr>
      </w:pPr>
      <w:r>
        <w:rPr>
          <w:rFonts w:hint="eastAsia" w:ascii="黑体" w:hAnsi="黑体" w:eastAsia="黑体" w:cs="黑体"/>
          <w:color w:val="auto"/>
          <w:sz w:val="32"/>
          <w:szCs w:val="32"/>
        </w:rPr>
        <w:t>第六章  应急处置</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第十六条 对于可能发生或已经发生的工控安全事件，工业企业应立即开展应急处置，采取科学有效方法及时施救，力争将损失降到最小，尽快恢复受损工业控制系统的正常运行。当事发工业企业应急处置力量不足时，可请求上级主管部门协调应急技术机构提供支援。</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第十七条 有关地方工业和信息化主管部门和工业企业应及时向工业和信息化部报告事态发展变化情况和事件处置进展情况。报告信息一般包括以下要素：事件涉及的工业控制系统名称及运营管理单位、时间、地点、原因、来源、类型、性质、危害、影响范围、发展趋势、处置措施等。</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第十八条 工业和信息化部指导、督促事发企业开展应急处置工作，必要时派出工作组赴现场指挥协调应急处置工作，协调应急技术机构提供技术支援。</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第十九条 应急处置结束、系统恢复运行后，相关工业企业要尽快消除事件造成的不良影响，做好事件分析总结工作，总结报告应在30天内以书面形式报工业和信息化部。</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第二十条 对于工控安全事件性质、起因、范围、损失等，工业和信息化主管部门和相关人员应做好舆论宣传和引导工作。</w:t>
      </w:r>
    </w:p>
    <w:p>
      <w:pPr>
        <w:spacing w:line="360" w:lineRule="auto"/>
        <w:ind w:firstLine="640" w:firstLineChars="200"/>
        <w:rPr>
          <w:rFonts w:hint="eastAsia" w:ascii="仿宋" w:hAnsi="仿宋" w:eastAsia="仿宋" w:cs="仿宋"/>
          <w:color w:val="auto"/>
          <w:sz w:val="32"/>
          <w:szCs w:val="32"/>
        </w:rPr>
      </w:pPr>
    </w:p>
    <w:p>
      <w:pPr>
        <w:spacing w:line="360" w:lineRule="auto"/>
        <w:jc w:val="center"/>
        <w:outlineLvl w:val="0"/>
        <w:rPr>
          <w:rFonts w:hint="eastAsia" w:ascii="黑体" w:hAnsi="黑体" w:eastAsia="黑体" w:cs="黑体"/>
          <w:color w:val="auto"/>
          <w:sz w:val="32"/>
          <w:szCs w:val="32"/>
        </w:rPr>
      </w:pPr>
      <w:r>
        <w:rPr>
          <w:rFonts w:hint="eastAsia" w:ascii="黑体" w:hAnsi="黑体" w:eastAsia="黑体" w:cs="黑体"/>
          <w:color w:val="auto"/>
          <w:sz w:val="32"/>
          <w:szCs w:val="32"/>
        </w:rPr>
        <w:t>第七章  保障措施</w:t>
      </w:r>
    </w:p>
    <w:p>
      <w:pPr>
        <w:spacing w:line="360" w:lineRule="auto"/>
        <w:ind w:firstLine="645"/>
        <w:rPr>
          <w:rFonts w:hint="eastAsia" w:ascii="仿宋" w:hAnsi="仿宋" w:eastAsia="仿宋" w:cs="仿宋"/>
          <w:color w:val="auto"/>
          <w:sz w:val="32"/>
          <w:szCs w:val="32"/>
        </w:rPr>
      </w:pPr>
      <w:r>
        <w:rPr>
          <w:rFonts w:hint="eastAsia" w:ascii="仿宋" w:hAnsi="仿宋" w:eastAsia="仿宋" w:cs="仿宋"/>
          <w:color w:val="auto"/>
          <w:sz w:val="32"/>
          <w:szCs w:val="32"/>
        </w:rPr>
        <w:t>第二十一条 工业和信息化部、地方工业和信息化主管部门、工业企业制定本级工控安全事件应急预案，定期组织应急演练。</w:t>
      </w:r>
    </w:p>
    <w:p>
      <w:pPr>
        <w:spacing w:line="360" w:lineRule="auto"/>
        <w:ind w:firstLine="645"/>
        <w:rPr>
          <w:rFonts w:hint="eastAsia" w:ascii="仿宋" w:hAnsi="仿宋" w:eastAsia="仿宋" w:cs="仿宋"/>
          <w:color w:val="auto"/>
          <w:sz w:val="32"/>
          <w:szCs w:val="32"/>
        </w:rPr>
      </w:pPr>
      <w:r>
        <w:rPr>
          <w:rFonts w:hint="eastAsia" w:ascii="仿宋" w:hAnsi="仿宋" w:eastAsia="仿宋" w:cs="仿宋"/>
          <w:color w:val="auto"/>
          <w:sz w:val="32"/>
          <w:szCs w:val="32"/>
        </w:rPr>
        <w:t>第二十二条 工业和信息化部建立国家工控安全应急专家组，为工控安全应急管理提供技术咨询和决策支持。地方工业和信息化主管部门建立本地区工控安全应急专家组，充分发挥专家在应急管理工作中的作用。</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第二十三条 加强对工控安全事件应急装备和工具的储备，及时调整、升级软硬件工具，建设完善工控安全事件应急技术服务平台，不断增强应急技术支撑能力。</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第二十四条 各有关部门应积极利用现有政策和资金渠道，申请新增预算，支持工控安全应急技术机构建设、专家队伍建设、基础平台建设、技术研发、应急演练、物资保障等，为工控安全应急管理工作提供必要的经费支持。</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第二十五条 本指南自2017年7月1日起施行。</w:t>
      </w:r>
    </w:p>
    <w:p>
      <w:pPr>
        <w:rPr>
          <w:rFonts w:hint="eastAsia" w:ascii="仿宋" w:hAnsi="仿宋" w:eastAsia="仿宋" w:cs="仿宋"/>
          <w:sz w:val="32"/>
          <w:szCs w:val="3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2017-06-15T06:47:00Z</dcterms:created>
  <dc:creator>xxkzhc</dc:creator>
  <cp:lastModifiedBy>goveditor</cp:lastModifiedBy>
  <dcterms:modified xsi:type="dcterms:W3CDTF">2017-06-15T09:38:32Z</dcterms:modified>
  <dc:title>工业控制系统信息安全事件应急管理工作指南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