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024" w:rsidRPr="0085741C" w:rsidRDefault="00B81024" w:rsidP="00B81024">
      <w:pPr>
        <w:rPr>
          <w:rFonts w:eastAsia="黑体"/>
          <w:sz w:val="32"/>
          <w:szCs w:val="32"/>
        </w:rPr>
      </w:pPr>
      <w:r w:rsidRPr="0085741C">
        <w:rPr>
          <w:rFonts w:eastAsia="黑体" w:hAnsi="黑体"/>
          <w:sz w:val="32"/>
          <w:szCs w:val="32"/>
        </w:rPr>
        <w:t>附件</w:t>
      </w:r>
      <w:r w:rsidRPr="0085741C">
        <w:rPr>
          <w:rFonts w:eastAsia="黑体"/>
          <w:sz w:val="32"/>
          <w:szCs w:val="32"/>
        </w:rPr>
        <w:t>1</w:t>
      </w:r>
      <w:bookmarkStart w:id="0" w:name="_Toc478809032"/>
      <w:bookmarkStart w:id="1" w:name="_Toc478382044"/>
      <w:bookmarkStart w:id="2" w:name="_Toc477247367"/>
      <w:bookmarkStart w:id="3" w:name="_Toc476743794"/>
      <w:bookmarkStart w:id="4" w:name="_Toc476743672"/>
      <w:bookmarkStart w:id="5" w:name="_Toc475360551"/>
    </w:p>
    <w:p w:rsidR="00B81024" w:rsidRPr="00B57C3E" w:rsidRDefault="00B81024" w:rsidP="00B81024">
      <w:pPr>
        <w:jc w:val="center"/>
        <w:rPr>
          <w:rFonts w:ascii="宋体" w:hAnsi="宋体" w:hint="eastAsia"/>
          <w:b/>
          <w:szCs w:val="32"/>
        </w:rPr>
      </w:pPr>
      <w:r w:rsidRPr="00B57C3E">
        <w:rPr>
          <w:rFonts w:ascii="宋体" w:hAnsi="宋体" w:hint="eastAsia"/>
          <w:b/>
          <w:sz w:val="44"/>
          <w:szCs w:val="44"/>
        </w:rPr>
        <w:t>尘毒危害专项执法工作监督检查表</w:t>
      </w:r>
    </w:p>
    <w:p w:rsidR="00B81024" w:rsidRPr="008857A7" w:rsidRDefault="00B81024" w:rsidP="00B81024">
      <w:pPr>
        <w:jc w:val="left"/>
        <w:rPr>
          <w:rFonts w:ascii="仿宋" w:eastAsia="仿宋" w:hAnsi="仿宋" w:hint="eastAsia"/>
          <w:sz w:val="28"/>
          <w:szCs w:val="28"/>
        </w:rPr>
      </w:pPr>
      <w:r w:rsidRPr="008857A7">
        <w:rPr>
          <w:rFonts w:ascii="仿宋" w:eastAsia="仿宋" w:hAnsi="仿宋" w:hint="eastAsia"/>
          <w:sz w:val="28"/>
          <w:szCs w:val="28"/>
        </w:rPr>
        <w:t>用人单位名称：</w:t>
      </w:r>
      <w:bookmarkEnd w:id="0"/>
      <w:bookmarkEnd w:id="1"/>
      <w:bookmarkEnd w:id="2"/>
      <w:bookmarkEnd w:id="3"/>
      <w:bookmarkEnd w:id="4"/>
      <w:bookmarkEnd w:id="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7"/>
        <w:gridCol w:w="2784"/>
        <w:gridCol w:w="3029"/>
        <w:gridCol w:w="1709"/>
        <w:gridCol w:w="1565"/>
        <w:gridCol w:w="1494"/>
        <w:gridCol w:w="1457"/>
        <w:gridCol w:w="19"/>
      </w:tblGrid>
      <w:tr w:rsidR="00B81024" w:rsidRPr="0085741C" w:rsidTr="007B1D11">
        <w:trPr>
          <w:trHeight w:val="509"/>
          <w:tblHeader/>
          <w:jc w:val="center"/>
        </w:trPr>
        <w:tc>
          <w:tcPr>
            <w:tcW w:w="1567" w:type="dxa"/>
            <w:tcBorders>
              <w:top w:val="single" w:sz="4" w:space="0" w:color="000000"/>
              <w:left w:val="single" w:sz="4" w:space="0" w:color="000000"/>
              <w:bottom w:val="single" w:sz="4" w:space="0" w:color="000000"/>
              <w:right w:val="single" w:sz="4" w:space="0" w:color="000000"/>
            </w:tcBorders>
            <w:vAlign w:val="center"/>
          </w:tcPr>
          <w:p w:rsidR="00B81024" w:rsidRPr="0085741C" w:rsidRDefault="00B81024" w:rsidP="007B1D11">
            <w:pPr>
              <w:tabs>
                <w:tab w:val="left" w:pos="6660"/>
              </w:tabs>
              <w:adjustRightInd w:val="0"/>
              <w:snapToGrid w:val="0"/>
              <w:jc w:val="center"/>
              <w:rPr>
                <w:rFonts w:ascii="黑体" w:eastAsia="黑体" w:hAnsi="黑体"/>
                <w:bCs/>
                <w:color w:val="000000"/>
                <w:sz w:val="20"/>
                <w:szCs w:val="28"/>
              </w:rPr>
            </w:pPr>
            <w:r w:rsidRPr="0085741C">
              <w:rPr>
                <w:rFonts w:ascii="黑体" w:eastAsia="黑体" w:hAnsi="黑体"/>
                <w:bCs/>
                <w:color w:val="000000"/>
                <w:sz w:val="20"/>
                <w:szCs w:val="28"/>
              </w:rPr>
              <w:t>重点事项</w:t>
            </w:r>
          </w:p>
        </w:tc>
        <w:tc>
          <w:tcPr>
            <w:tcW w:w="2784" w:type="dxa"/>
            <w:tcBorders>
              <w:top w:val="single" w:sz="4" w:space="0" w:color="000000"/>
              <w:left w:val="single" w:sz="4" w:space="0" w:color="000000"/>
              <w:bottom w:val="single" w:sz="4" w:space="0" w:color="000000"/>
              <w:right w:val="single" w:sz="4" w:space="0" w:color="000000"/>
            </w:tcBorders>
            <w:vAlign w:val="center"/>
          </w:tcPr>
          <w:p w:rsidR="00B81024" w:rsidRPr="0085741C" w:rsidRDefault="00B81024" w:rsidP="007B1D11">
            <w:pPr>
              <w:tabs>
                <w:tab w:val="left" w:pos="6660"/>
              </w:tabs>
              <w:adjustRightInd w:val="0"/>
              <w:snapToGrid w:val="0"/>
              <w:jc w:val="center"/>
              <w:rPr>
                <w:rFonts w:ascii="黑体" w:eastAsia="黑体" w:hAnsi="黑体"/>
                <w:bCs/>
                <w:color w:val="000000"/>
                <w:sz w:val="20"/>
                <w:szCs w:val="28"/>
              </w:rPr>
            </w:pPr>
            <w:r w:rsidRPr="0085741C">
              <w:rPr>
                <w:rFonts w:ascii="黑体" w:eastAsia="黑体" w:hAnsi="黑体"/>
                <w:bCs/>
                <w:color w:val="000000"/>
                <w:sz w:val="20"/>
                <w:szCs w:val="28"/>
              </w:rPr>
              <w:t>具体检查内容</w:t>
            </w:r>
          </w:p>
        </w:tc>
        <w:tc>
          <w:tcPr>
            <w:tcW w:w="3029" w:type="dxa"/>
            <w:tcBorders>
              <w:top w:val="single" w:sz="4" w:space="0" w:color="000000"/>
              <w:left w:val="single" w:sz="4" w:space="0" w:color="000000"/>
              <w:bottom w:val="single" w:sz="4" w:space="0" w:color="000000"/>
              <w:right w:val="single" w:sz="4" w:space="0" w:color="000000"/>
            </w:tcBorders>
            <w:vAlign w:val="center"/>
          </w:tcPr>
          <w:p w:rsidR="00B81024" w:rsidRPr="0085741C" w:rsidRDefault="00B81024" w:rsidP="007B1D11">
            <w:pPr>
              <w:tabs>
                <w:tab w:val="left" w:pos="6660"/>
              </w:tabs>
              <w:adjustRightInd w:val="0"/>
              <w:snapToGrid w:val="0"/>
              <w:jc w:val="center"/>
              <w:rPr>
                <w:rFonts w:ascii="黑体" w:eastAsia="黑体" w:hAnsi="黑体"/>
                <w:bCs/>
                <w:color w:val="000000"/>
                <w:sz w:val="20"/>
                <w:szCs w:val="28"/>
              </w:rPr>
            </w:pPr>
            <w:r w:rsidRPr="0085741C">
              <w:rPr>
                <w:rFonts w:ascii="黑体" w:eastAsia="黑体" w:hAnsi="黑体"/>
                <w:bCs/>
                <w:color w:val="000000"/>
                <w:sz w:val="20"/>
                <w:szCs w:val="28"/>
              </w:rPr>
              <w:t>检查方法</w:t>
            </w:r>
          </w:p>
        </w:tc>
        <w:tc>
          <w:tcPr>
            <w:tcW w:w="1709" w:type="dxa"/>
            <w:tcBorders>
              <w:top w:val="single" w:sz="4" w:space="0" w:color="000000"/>
              <w:left w:val="single" w:sz="4" w:space="0" w:color="000000"/>
              <w:bottom w:val="single" w:sz="4" w:space="0" w:color="000000"/>
              <w:right w:val="single" w:sz="4" w:space="0" w:color="000000"/>
            </w:tcBorders>
            <w:vAlign w:val="center"/>
          </w:tcPr>
          <w:p w:rsidR="00B81024" w:rsidRPr="0085741C" w:rsidRDefault="00B81024" w:rsidP="007B1D11">
            <w:pPr>
              <w:tabs>
                <w:tab w:val="left" w:pos="6660"/>
              </w:tabs>
              <w:adjustRightInd w:val="0"/>
              <w:snapToGrid w:val="0"/>
              <w:jc w:val="center"/>
              <w:rPr>
                <w:rFonts w:ascii="黑体" w:eastAsia="黑体" w:hAnsi="黑体"/>
                <w:bCs/>
                <w:color w:val="000000"/>
                <w:sz w:val="20"/>
                <w:szCs w:val="28"/>
              </w:rPr>
            </w:pPr>
            <w:r w:rsidRPr="0085741C">
              <w:rPr>
                <w:rFonts w:ascii="黑体" w:eastAsia="黑体" w:hAnsi="黑体"/>
                <w:bCs/>
                <w:color w:val="000000"/>
                <w:sz w:val="20"/>
                <w:szCs w:val="28"/>
              </w:rPr>
              <w:t>违法行为</w:t>
            </w:r>
          </w:p>
        </w:tc>
        <w:tc>
          <w:tcPr>
            <w:tcW w:w="1565" w:type="dxa"/>
            <w:tcBorders>
              <w:top w:val="single" w:sz="4" w:space="0" w:color="000000"/>
              <w:left w:val="single" w:sz="4" w:space="0" w:color="000000"/>
              <w:bottom w:val="single" w:sz="4" w:space="0" w:color="000000"/>
              <w:right w:val="single" w:sz="4" w:space="0" w:color="000000"/>
            </w:tcBorders>
            <w:vAlign w:val="center"/>
          </w:tcPr>
          <w:p w:rsidR="00B81024" w:rsidRPr="0085741C" w:rsidRDefault="00B81024" w:rsidP="007B1D11">
            <w:pPr>
              <w:tabs>
                <w:tab w:val="left" w:pos="6660"/>
              </w:tabs>
              <w:adjustRightInd w:val="0"/>
              <w:snapToGrid w:val="0"/>
              <w:jc w:val="center"/>
              <w:rPr>
                <w:rFonts w:ascii="黑体" w:eastAsia="黑体" w:hAnsi="黑体"/>
                <w:bCs/>
                <w:color w:val="000000"/>
                <w:sz w:val="20"/>
                <w:szCs w:val="28"/>
              </w:rPr>
            </w:pPr>
            <w:r w:rsidRPr="0085741C">
              <w:rPr>
                <w:rFonts w:ascii="黑体" w:eastAsia="黑体" w:hAnsi="黑体"/>
                <w:bCs/>
                <w:color w:val="000000"/>
                <w:sz w:val="20"/>
                <w:szCs w:val="28"/>
              </w:rPr>
              <w:t>违法条款</w:t>
            </w:r>
          </w:p>
        </w:tc>
        <w:tc>
          <w:tcPr>
            <w:tcW w:w="1494" w:type="dxa"/>
            <w:tcBorders>
              <w:top w:val="single" w:sz="4" w:space="0" w:color="000000"/>
              <w:left w:val="single" w:sz="4" w:space="0" w:color="000000"/>
              <w:bottom w:val="single" w:sz="4" w:space="0" w:color="000000"/>
              <w:right w:val="single" w:sz="4" w:space="0" w:color="000000"/>
            </w:tcBorders>
            <w:vAlign w:val="center"/>
          </w:tcPr>
          <w:p w:rsidR="00B81024" w:rsidRPr="0085741C" w:rsidRDefault="00B81024" w:rsidP="007B1D11">
            <w:pPr>
              <w:tabs>
                <w:tab w:val="left" w:pos="6660"/>
              </w:tabs>
              <w:adjustRightInd w:val="0"/>
              <w:snapToGrid w:val="0"/>
              <w:jc w:val="center"/>
              <w:rPr>
                <w:rFonts w:ascii="黑体" w:eastAsia="黑体" w:hAnsi="黑体"/>
                <w:bCs/>
                <w:color w:val="000000"/>
                <w:sz w:val="20"/>
                <w:szCs w:val="28"/>
              </w:rPr>
            </w:pPr>
            <w:r w:rsidRPr="0085741C">
              <w:rPr>
                <w:rFonts w:ascii="黑体" w:eastAsia="黑体" w:hAnsi="黑体"/>
                <w:bCs/>
                <w:color w:val="000000"/>
                <w:sz w:val="20"/>
                <w:szCs w:val="28"/>
              </w:rPr>
              <w:t>处罚依据</w:t>
            </w:r>
          </w:p>
        </w:tc>
        <w:tc>
          <w:tcPr>
            <w:tcW w:w="1462" w:type="dxa"/>
            <w:gridSpan w:val="2"/>
            <w:tcBorders>
              <w:top w:val="single" w:sz="4" w:space="0" w:color="000000"/>
              <w:left w:val="single" w:sz="4" w:space="0" w:color="000000"/>
              <w:bottom w:val="single" w:sz="4" w:space="0" w:color="000000"/>
              <w:right w:val="single" w:sz="4" w:space="0" w:color="000000"/>
            </w:tcBorders>
            <w:vAlign w:val="center"/>
          </w:tcPr>
          <w:p w:rsidR="00B81024" w:rsidRPr="0085741C" w:rsidRDefault="00B81024" w:rsidP="007B1D11">
            <w:pPr>
              <w:tabs>
                <w:tab w:val="left" w:pos="6660"/>
              </w:tabs>
              <w:adjustRightInd w:val="0"/>
              <w:snapToGrid w:val="0"/>
              <w:jc w:val="center"/>
              <w:rPr>
                <w:rFonts w:ascii="黑体" w:eastAsia="黑体" w:hAnsi="黑体"/>
                <w:bCs/>
                <w:color w:val="000000"/>
                <w:sz w:val="20"/>
                <w:szCs w:val="28"/>
              </w:rPr>
            </w:pPr>
            <w:r w:rsidRPr="0085741C">
              <w:rPr>
                <w:rFonts w:ascii="黑体" w:eastAsia="黑体" w:hAnsi="黑体"/>
                <w:bCs/>
                <w:color w:val="000000"/>
                <w:sz w:val="20"/>
                <w:szCs w:val="28"/>
              </w:rPr>
              <w:t>存在问题</w:t>
            </w:r>
          </w:p>
        </w:tc>
      </w:tr>
      <w:tr w:rsidR="00B81024" w:rsidRPr="0085741C" w:rsidTr="007B1D11">
        <w:trPr>
          <w:trHeight w:val="3119"/>
          <w:jc w:val="center"/>
        </w:trPr>
        <w:tc>
          <w:tcPr>
            <w:tcW w:w="1567"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_GB2312" w:eastAsia="仿宋_GB2312" w:hAnsi="黑体" w:hint="eastAsia"/>
                <w:color w:val="000000"/>
                <w:sz w:val="16"/>
                <w:szCs w:val="16"/>
              </w:rPr>
            </w:pPr>
            <w:r w:rsidRPr="008857A7">
              <w:rPr>
                <w:rFonts w:ascii="仿宋_GB2312" w:eastAsia="仿宋_GB2312" w:hAnsi="黑体" w:hint="eastAsia"/>
                <w:color w:val="000000"/>
                <w:sz w:val="16"/>
                <w:szCs w:val="16"/>
              </w:rPr>
              <w:t>1.新建、扩建、改建建设项目和技术改造、技术引进项目，职业病危害预评价、职业病防护设施设计、职业病危害控制效果评价和职业病防护设施竣工验收情况</w:t>
            </w:r>
          </w:p>
        </w:tc>
        <w:tc>
          <w:tcPr>
            <w:tcW w:w="2784"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_GB2312" w:eastAsia="仿宋_GB2312" w:hAnsi="黑体" w:hint="eastAsia"/>
                <w:color w:val="000000"/>
                <w:sz w:val="16"/>
                <w:szCs w:val="16"/>
              </w:rPr>
            </w:pPr>
            <w:r w:rsidRPr="008857A7">
              <w:rPr>
                <w:rFonts w:ascii="仿宋_GB2312" w:eastAsia="仿宋_GB2312" w:hAnsi="黑体" w:hint="eastAsia"/>
                <w:color w:val="000000"/>
                <w:sz w:val="16"/>
                <w:szCs w:val="16"/>
              </w:rPr>
              <w:t>建设项目职业病危害评价及职业病防护设施“三同时”措施落实情况</w:t>
            </w:r>
          </w:p>
        </w:tc>
        <w:tc>
          <w:tcPr>
            <w:tcW w:w="3029"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_GB2312" w:eastAsia="仿宋_GB2312" w:hAnsi="黑体" w:hint="eastAsia"/>
                <w:color w:val="000000"/>
                <w:sz w:val="16"/>
                <w:szCs w:val="16"/>
              </w:rPr>
            </w:pPr>
            <w:r w:rsidRPr="008857A7">
              <w:rPr>
                <w:rFonts w:ascii="仿宋_GB2312" w:eastAsia="仿宋_GB2312" w:hAnsi="黑体" w:hint="eastAsia"/>
                <w:color w:val="000000"/>
                <w:sz w:val="16"/>
                <w:szCs w:val="16"/>
              </w:rPr>
              <w:t>查阅建设项目职业病危害预评价报告、职业病防护设施设计、职业病危害控制效果评价报告及相应的评审意见，职业病防护设施验收意见，以及职业病危害严重的建设项目向管辖该建设项目的人民政府卫生健康行政部门提交的职业病危害控制效果评价与职业病防护设施验收的书面报告，检查相关信息公布情况。</w:t>
            </w:r>
          </w:p>
          <w:p w:rsidR="00B81024" w:rsidRPr="008857A7" w:rsidRDefault="00B81024" w:rsidP="007B1D11">
            <w:pPr>
              <w:adjustRightInd w:val="0"/>
              <w:snapToGrid w:val="0"/>
              <w:spacing w:line="360" w:lineRule="exact"/>
              <w:rPr>
                <w:rFonts w:ascii="仿宋_GB2312" w:eastAsia="仿宋_GB2312" w:hAnsi="黑体" w:hint="eastAsia"/>
                <w:color w:val="000000"/>
                <w:sz w:val="16"/>
                <w:szCs w:val="16"/>
              </w:rPr>
            </w:pPr>
          </w:p>
        </w:tc>
        <w:tc>
          <w:tcPr>
            <w:tcW w:w="1709"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_GB2312" w:eastAsia="仿宋_GB2312" w:hAnsi="黑体" w:hint="eastAsia"/>
                <w:color w:val="000000"/>
                <w:sz w:val="16"/>
                <w:szCs w:val="16"/>
              </w:rPr>
            </w:pPr>
            <w:r w:rsidRPr="008857A7">
              <w:rPr>
                <w:rFonts w:ascii="仿宋_GB2312" w:eastAsia="仿宋_GB2312" w:hAnsi="黑体" w:hint="eastAsia"/>
                <w:color w:val="000000"/>
                <w:sz w:val="16"/>
                <w:szCs w:val="16"/>
              </w:rPr>
              <w:t>新建、扩建、改建建设项目和技术改造、技术引进项目，未按照规定进行职业病危害预评价、职业病防护设施设计和职业病危害控制效果评价。</w:t>
            </w:r>
          </w:p>
        </w:tc>
        <w:tc>
          <w:tcPr>
            <w:tcW w:w="1565"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_GB2312" w:eastAsia="仿宋_GB2312" w:hAnsi="黑体" w:hint="eastAsia"/>
                <w:color w:val="000000"/>
                <w:sz w:val="16"/>
                <w:szCs w:val="16"/>
              </w:rPr>
            </w:pPr>
            <w:r w:rsidRPr="008857A7">
              <w:rPr>
                <w:rFonts w:ascii="仿宋_GB2312" w:eastAsia="仿宋_GB2312" w:hAnsi="黑体" w:hint="eastAsia"/>
                <w:color w:val="000000"/>
                <w:sz w:val="16"/>
                <w:szCs w:val="16"/>
              </w:rPr>
              <w:t>《职业病防治法》第十七条第一款，第十八条第一款、第二款、第三款。</w:t>
            </w:r>
          </w:p>
        </w:tc>
        <w:tc>
          <w:tcPr>
            <w:tcW w:w="1494"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_GB2312" w:eastAsia="仿宋_GB2312" w:hAnsi="黑体" w:hint="eastAsia"/>
                <w:color w:val="000000"/>
                <w:sz w:val="16"/>
                <w:szCs w:val="16"/>
              </w:rPr>
            </w:pPr>
            <w:r w:rsidRPr="008857A7">
              <w:rPr>
                <w:rFonts w:ascii="仿宋_GB2312" w:eastAsia="仿宋_GB2312" w:hAnsi="黑体" w:hint="eastAsia"/>
                <w:color w:val="000000"/>
                <w:sz w:val="16"/>
                <w:szCs w:val="16"/>
              </w:rPr>
              <w:t>《职业病防治法》第六十九条第一、三、四、五、六项。</w:t>
            </w:r>
          </w:p>
        </w:tc>
        <w:tc>
          <w:tcPr>
            <w:tcW w:w="1462" w:type="dxa"/>
            <w:gridSpan w:val="2"/>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_GB2312" w:eastAsia="仿宋_GB2312" w:hAnsi="黑体" w:hint="eastAsia"/>
                <w:color w:val="000000"/>
                <w:sz w:val="16"/>
                <w:szCs w:val="16"/>
              </w:rPr>
            </w:pPr>
          </w:p>
        </w:tc>
      </w:tr>
      <w:tr w:rsidR="00B81024" w:rsidRPr="0085741C" w:rsidTr="007B1D11">
        <w:trPr>
          <w:trHeight w:val="2456"/>
          <w:jc w:val="center"/>
        </w:trPr>
        <w:tc>
          <w:tcPr>
            <w:tcW w:w="1567"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hint="eastAsia"/>
                <w:color w:val="000000"/>
                <w:sz w:val="16"/>
                <w:szCs w:val="16"/>
              </w:rPr>
            </w:pPr>
            <w:r w:rsidRPr="008857A7">
              <w:rPr>
                <w:rFonts w:ascii="仿宋" w:eastAsia="仿宋" w:hAnsi="仿宋" w:hint="eastAsia"/>
                <w:color w:val="000000"/>
                <w:sz w:val="16"/>
                <w:szCs w:val="16"/>
              </w:rPr>
              <w:t>2.按照规定及时、如实申报职业病危害项目情况</w:t>
            </w:r>
          </w:p>
        </w:tc>
        <w:tc>
          <w:tcPr>
            <w:tcW w:w="2784"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hint="eastAsia"/>
                <w:color w:val="000000"/>
                <w:sz w:val="16"/>
                <w:szCs w:val="16"/>
              </w:rPr>
            </w:pPr>
            <w:r w:rsidRPr="008857A7">
              <w:rPr>
                <w:rFonts w:ascii="仿宋" w:eastAsia="仿宋" w:hAnsi="仿宋" w:hint="eastAsia"/>
                <w:color w:val="000000"/>
                <w:sz w:val="16"/>
                <w:szCs w:val="16"/>
              </w:rPr>
              <w:t>工作场所职业病危害项目申报情况</w:t>
            </w:r>
          </w:p>
        </w:tc>
        <w:tc>
          <w:tcPr>
            <w:tcW w:w="3029"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hint="eastAsia"/>
                <w:color w:val="000000"/>
                <w:sz w:val="16"/>
                <w:szCs w:val="16"/>
              </w:rPr>
            </w:pPr>
            <w:r w:rsidRPr="008857A7">
              <w:rPr>
                <w:rFonts w:ascii="仿宋" w:eastAsia="仿宋" w:hAnsi="仿宋" w:hint="eastAsia"/>
                <w:color w:val="000000"/>
                <w:sz w:val="16"/>
                <w:szCs w:val="16"/>
              </w:rPr>
              <w:t>查阅《职业病危害项目申报表》、《职业病危害项目回执》，检查申报职业病危害项目、变更职业病危害项目内容情况。</w:t>
            </w:r>
          </w:p>
        </w:tc>
        <w:tc>
          <w:tcPr>
            <w:tcW w:w="1709"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hint="eastAsia"/>
                <w:color w:val="000000"/>
                <w:sz w:val="16"/>
                <w:szCs w:val="16"/>
              </w:rPr>
            </w:pPr>
            <w:r w:rsidRPr="008857A7">
              <w:rPr>
                <w:rFonts w:ascii="仿宋" w:eastAsia="仿宋" w:hAnsi="仿宋" w:hint="eastAsia"/>
                <w:color w:val="000000"/>
                <w:sz w:val="16"/>
                <w:szCs w:val="16"/>
              </w:rPr>
              <w:t>未按照规定及时、如实申报产生职业病危害项目</w:t>
            </w:r>
          </w:p>
        </w:tc>
        <w:tc>
          <w:tcPr>
            <w:tcW w:w="1565"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hint="eastAsia"/>
                <w:color w:val="000000"/>
                <w:sz w:val="16"/>
                <w:szCs w:val="16"/>
              </w:rPr>
            </w:pPr>
            <w:r w:rsidRPr="008857A7">
              <w:rPr>
                <w:rFonts w:ascii="仿宋" w:eastAsia="仿宋" w:hAnsi="仿宋" w:hint="eastAsia"/>
                <w:color w:val="000000"/>
                <w:sz w:val="16"/>
                <w:szCs w:val="16"/>
              </w:rPr>
              <w:t>《职业病防治法》第十六条第一款、第二款。</w:t>
            </w:r>
          </w:p>
        </w:tc>
        <w:tc>
          <w:tcPr>
            <w:tcW w:w="1494"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hint="eastAsia"/>
                <w:color w:val="000000"/>
                <w:sz w:val="16"/>
                <w:szCs w:val="16"/>
              </w:rPr>
            </w:pPr>
            <w:r w:rsidRPr="008857A7">
              <w:rPr>
                <w:rFonts w:ascii="仿宋" w:eastAsia="仿宋" w:hAnsi="仿宋" w:hint="eastAsia"/>
                <w:color w:val="000000"/>
                <w:sz w:val="16"/>
                <w:szCs w:val="16"/>
              </w:rPr>
              <w:t>《职业病防治法》第七十一条第一项。</w:t>
            </w:r>
          </w:p>
        </w:tc>
        <w:tc>
          <w:tcPr>
            <w:tcW w:w="1462" w:type="dxa"/>
            <w:gridSpan w:val="2"/>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hint="eastAsia"/>
                <w:color w:val="000000"/>
                <w:sz w:val="16"/>
                <w:szCs w:val="16"/>
              </w:rPr>
            </w:pPr>
          </w:p>
        </w:tc>
      </w:tr>
      <w:tr w:rsidR="00B81024" w:rsidRPr="0085741C" w:rsidTr="007B1D11">
        <w:trPr>
          <w:trHeight w:val="3119"/>
          <w:jc w:val="center"/>
        </w:trPr>
        <w:tc>
          <w:tcPr>
            <w:tcW w:w="1567"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lastRenderedPageBreak/>
              <w:t>3.职业病危害因素定期检测、评价以及工作场所职业病危害因素检测不合格的处理情况</w:t>
            </w:r>
          </w:p>
        </w:tc>
        <w:tc>
          <w:tcPr>
            <w:tcW w:w="2784"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t>委托职业卫生技术服务机构一年至少进行一次职业病危害定期检测。接触粉尘危害的岗位均应按规定检测粉尘时间加权平均浓度（CTWA，</w:t>
            </w:r>
            <w:proofErr w:type="gramStart"/>
            <w:r w:rsidRPr="008857A7">
              <w:rPr>
                <w:rFonts w:ascii="仿宋" w:eastAsia="仿宋" w:hAnsi="仿宋"/>
                <w:color w:val="000000"/>
                <w:sz w:val="16"/>
                <w:szCs w:val="16"/>
              </w:rPr>
              <w:t>包括总尘和</w:t>
            </w:r>
            <w:proofErr w:type="gramEnd"/>
            <w:r w:rsidRPr="008857A7">
              <w:rPr>
                <w:rFonts w:ascii="仿宋" w:eastAsia="仿宋" w:hAnsi="仿宋"/>
                <w:color w:val="000000"/>
                <w:sz w:val="16"/>
                <w:szCs w:val="16"/>
              </w:rPr>
              <w:t>呼尘），性质不明的粉尘应按规定检测粉尘中游离二氧化硅含量。对于粉尘和未制定PC-STEL的化学物质，应按要求计算超限倍数值。同时，对于工作场所职业病危害因素检测不合格应采取相应的治理措施。</w:t>
            </w:r>
          </w:p>
        </w:tc>
        <w:tc>
          <w:tcPr>
            <w:tcW w:w="3029"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t>查阅职业病危害定期检测报告，重点检查：（1）粉尘作业岗位是否进行了全面检测，接触粉尘危害的岗位是否按规定全部检测CTWA，含二氧化硅的粉尘是否进行了游离二氧化硅含量测定；（2）存在苯、甲苯、二甲苯、甲醛、苯酚、氨、一氧化碳、硫化氢等化学物质的岗位是否进行了全面检测。（3）是否存在工作场所职业病危害因素检测不合格情况。对于工作场所职业病危害因素检测不合格情况，现场检查是否采取相应工程治理措施或为劳动者配备有效的个体防护用品。</w:t>
            </w:r>
          </w:p>
        </w:tc>
        <w:tc>
          <w:tcPr>
            <w:tcW w:w="1709"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t>未对工作场所职业病危害因素进行定期检测；工作场所职业病危害因素检测不合格，未采取相应治理措施的。</w:t>
            </w:r>
          </w:p>
        </w:tc>
        <w:tc>
          <w:tcPr>
            <w:tcW w:w="1565"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t>《职业病防治法》第二十六条第二款、三款、四款。</w:t>
            </w:r>
          </w:p>
        </w:tc>
        <w:tc>
          <w:tcPr>
            <w:tcW w:w="1494"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t>《职业病防治法》第七十二条第一、四、五项。</w:t>
            </w:r>
          </w:p>
        </w:tc>
        <w:tc>
          <w:tcPr>
            <w:tcW w:w="1462" w:type="dxa"/>
            <w:gridSpan w:val="2"/>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rPr>
                <w:rFonts w:ascii="仿宋" w:eastAsia="仿宋" w:hAnsi="仿宋"/>
                <w:color w:val="000000"/>
                <w:sz w:val="16"/>
                <w:szCs w:val="16"/>
              </w:rPr>
            </w:pPr>
          </w:p>
        </w:tc>
      </w:tr>
      <w:tr w:rsidR="00B81024" w:rsidRPr="0085741C" w:rsidTr="007B1D11">
        <w:trPr>
          <w:trHeight w:val="3119"/>
          <w:jc w:val="center"/>
        </w:trPr>
        <w:tc>
          <w:tcPr>
            <w:tcW w:w="1567"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bookmarkStart w:id="6" w:name="_Toc475360552"/>
            <w:bookmarkStart w:id="7" w:name="_Toc476743673"/>
            <w:bookmarkStart w:id="8" w:name="_Toc476743795"/>
            <w:bookmarkStart w:id="9" w:name="_Toc477247368"/>
            <w:bookmarkStart w:id="10" w:name="_Toc478382045"/>
            <w:bookmarkStart w:id="11" w:name="_Toc478809033"/>
            <w:r w:rsidRPr="008857A7">
              <w:rPr>
                <w:rFonts w:ascii="仿宋" w:eastAsia="仿宋" w:hAnsi="仿宋"/>
                <w:color w:val="000000"/>
                <w:sz w:val="16"/>
                <w:szCs w:val="16"/>
              </w:rPr>
              <w:t>4.劳动者职业健康监护情况</w:t>
            </w:r>
            <w:bookmarkEnd w:id="6"/>
            <w:bookmarkEnd w:id="7"/>
            <w:bookmarkEnd w:id="8"/>
            <w:bookmarkEnd w:id="9"/>
            <w:bookmarkEnd w:id="10"/>
            <w:bookmarkEnd w:id="11"/>
          </w:p>
        </w:tc>
        <w:tc>
          <w:tcPr>
            <w:tcW w:w="2784"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t>建立职业健康检查制度，按规定组织接触职业病危害的劳动者进行岗前、在岗期间和离岗前的职业健康检查。</w:t>
            </w:r>
          </w:p>
        </w:tc>
        <w:tc>
          <w:tcPr>
            <w:tcW w:w="3029"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t>查阅由职业健康检查机构出具的职业健康检查报告和劳动者健康监护档案。重点检查企业是否为所有接害人员建立了职业健康监护档案，是否所有接害人员按规定进行了岗前、在岗和离岗时的职业健康检查。</w:t>
            </w:r>
          </w:p>
        </w:tc>
        <w:tc>
          <w:tcPr>
            <w:tcW w:w="1709"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t>未按照规定组织上岗前、在岗期间和离岗时的职业健康检查；没有为劳动者建立职业健康监护档案。</w:t>
            </w:r>
          </w:p>
        </w:tc>
        <w:tc>
          <w:tcPr>
            <w:tcW w:w="1565"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t>《职业病防治法》第三十五条，第三十六条。</w:t>
            </w:r>
          </w:p>
        </w:tc>
        <w:tc>
          <w:tcPr>
            <w:tcW w:w="1494"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t>《职业病防治法》第七十一条第四项，第七十五条第七项，《用人单位职业健康监护监督管理办法》第二十六条。</w:t>
            </w:r>
          </w:p>
        </w:tc>
        <w:tc>
          <w:tcPr>
            <w:tcW w:w="1462" w:type="dxa"/>
            <w:gridSpan w:val="2"/>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rPr>
                <w:rFonts w:ascii="仿宋" w:eastAsia="仿宋" w:hAnsi="仿宋"/>
                <w:color w:val="000000"/>
                <w:sz w:val="16"/>
                <w:szCs w:val="16"/>
              </w:rPr>
            </w:pPr>
          </w:p>
        </w:tc>
      </w:tr>
      <w:tr w:rsidR="00B81024" w:rsidRPr="0085741C" w:rsidTr="007B1D11">
        <w:trPr>
          <w:trHeight w:val="3120"/>
          <w:jc w:val="center"/>
        </w:trPr>
        <w:tc>
          <w:tcPr>
            <w:tcW w:w="1567"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lastRenderedPageBreak/>
              <w:t>5.职业健康培训情况</w:t>
            </w:r>
          </w:p>
        </w:tc>
        <w:tc>
          <w:tcPr>
            <w:tcW w:w="2784"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t>企业主要负责人、职业健康管理人员接受职业健康培训，并取得职业健康培训合格证明，初次培训不得少于16学时，继续教育不得少于8学时。对接触职业病危害劳动者进行上岗前和在岗期间的职业健康培训，上岗前培训时间不得少于8学时，在岗期间每年不得少于4学时。</w:t>
            </w:r>
          </w:p>
        </w:tc>
        <w:tc>
          <w:tcPr>
            <w:tcW w:w="3029"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t>检查主要负责人、职业健康管理人员培训证书、培训签到表、培训记录、培训教材等。重点检查主要负责人、管理人员是否有培训合格证书或其他证明材料，是否在有效期之内。劳动者职业健康培训内容中是否有劳动者日常接触的职业病危害因素、可能的健康影响及防护措施等内容。询问劳动者对接触职业病危害后果、操作规程、防护用品佩戴等知识和技能掌握情况。</w:t>
            </w:r>
          </w:p>
        </w:tc>
        <w:tc>
          <w:tcPr>
            <w:tcW w:w="1709"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t>企业主要负责人、职业健康管理人员未接受职业健康培训；企业未按照规定组织劳动者进行职业健康培训。</w:t>
            </w:r>
          </w:p>
        </w:tc>
        <w:tc>
          <w:tcPr>
            <w:tcW w:w="1565"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t>《职业病防治法》第三十四条，《工作场所职业卫生监督管理规定》第九、十条。</w:t>
            </w:r>
          </w:p>
        </w:tc>
        <w:tc>
          <w:tcPr>
            <w:tcW w:w="1494" w:type="dxa"/>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spacing w:line="360" w:lineRule="exact"/>
              <w:rPr>
                <w:rFonts w:ascii="仿宋" w:eastAsia="仿宋" w:hAnsi="仿宋"/>
                <w:color w:val="000000"/>
                <w:sz w:val="16"/>
                <w:szCs w:val="16"/>
              </w:rPr>
            </w:pPr>
            <w:r w:rsidRPr="008857A7">
              <w:rPr>
                <w:rFonts w:ascii="仿宋" w:eastAsia="仿宋" w:hAnsi="仿宋"/>
                <w:color w:val="000000"/>
                <w:sz w:val="16"/>
                <w:szCs w:val="16"/>
              </w:rPr>
              <w:t>《职业病防治法》第七十条第四项，《工作场所职业卫生监督管理规定》第四十八条第二项。</w:t>
            </w:r>
          </w:p>
        </w:tc>
        <w:tc>
          <w:tcPr>
            <w:tcW w:w="1462" w:type="dxa"/>
            <w:gridSpan w:val="2"/>
            <w:tcBorders>
              <w:top w:val="single" w:sz="4" w:space="0" w:color="000000"/>
              <w:left w:val="single" w:sz="4" w:space="0" w:color="000000"/>
              <w:bottom w:val="single" w:sz="4" w:space="0" w:color="000000"/>
              <w:right w:val="single" w:sz="4" w:space="0" w:color="000000"/>
            </w:tcBorders>
            <w:vAlign w:val="center"/>
          </w:tcPr>
          <w:p w:rsidR="00B81024" w:rsidRPr="008857A7" w:rsidRDefault="00B81024" w:rsidP="007B1D11">
            <w:pPr>
              <w:adjustRightInd w:val="0"/>
              <w:snapToGrid w:val="0"/>
              <w:rPr>
                <w:rFonts w:ascii="仿宋" w:eastAsia="仿宋" w:hAnsi="仿宋"/>
                <w:color w:val="000000"/>
                <w:sz w:val="16"/>
                <w:szCs w:val="16"/>
              </w:rPr>
            </w:pPr>
          </w:p>
        </w:tc>
      </w:tr>
      <w:tr w:rsidR="00B81024" w:rsidRPr="0085741C" w:rsidTr="007B1D11">
        <w:trPr>
          <w:gridAfter w:val="1"/>
          <w:wAfter w:w="7" w:type="pct"/>
          <w:trHeight w:val="3392"/>
          <w:jc w:val="center"/>
        </w:trPr>
        <w:tc>
          <w:tcPr>
            <w:tcW w:w="13591" w:type="dxa"/>
            <w:gridSpan w:val="7"/>
            <w:tcBorders>
              <w:top w:val="single" w:sz="4" w:space="0" w:color="000000"/>
              <w:left w:val="single" w:sz="4" w:space="0" w:color="000000"/>
              <w:bottom w:val="single" w:sz="4" w:space="0" w:color="000000"/>
              <w:right w:val="single" w:sz="4" w:space="0" w:color="000000"/>
            </w:tcBorders>
            <w:vAlign w:val="center"/>
          </w:tcPr>
          <w:p w:rsidR="00B81024" w:rsidRPr="008B69BF" w:rsidRDefault="00B81024" w:rsidP="007B1D11">
            <w:pPr>
              <w:adjustRightInd w:val="0"/>
              <w:snapToGrid w:val="0"/>
              <w:jc w:val="center"/>
              <w:rPr>
                <w:rFonts w:ascii="仿宋" w:eastAsia="仿宋" w:hAnsi="仿宋"/>
                <w:b/>
                <w:color w:val="000000"/>
                <w:sz w:val="20"/>
                <w:szCs w:val="30"/>
              </w:rPr>
            </w:pPr>
            <w:r w:rsidRPr="008B69BF">
              <w:rPr>
                <w:rFonts w:ascii="仿宋" w:eastAsia="仿宋" w:hAnsi="仿宋"/>
                <w:b/>
                <w:color w:val="000000"/>
                <w:sz w:val="20"/>
                <w:szCs w:val="30"/>
              </w:rPr>
              <w:t>监督执法意见</w:t>
            </w:r>
          </w:p>
          <w:p w:rsidR="00B81024" w:rsidRPr="008B69BF" w:rsidRDefault="00B81024" w:rsidP="007B1D11">
            <w:pPr>
              <w:adjustRightInd w:val="0"/>
              <w:snapToGrid w:val="0"/>
              <w:ind w:firstLineChars="350" w:firstLine="700"/>
              <w:rPr>
                <w:rFonts w:ascii="仿宋" w:eastAsia="仿宋" w:hAnsi="仿宋"/>
                <w:color w:val="000000"/>
                <w:sz w:val="20"/>
                <w:szCs w:val="28"/>
              </w:rPr>
            </w:pPr>
            <w:r w:rsidRPr="008B69BF">
              <w:rPr>
                <w:rFonts w:ascii="仿宋" w:eastAsia="仿宋" w:hAnsi="仿宋"/>
                <w:color w:val="000000"/>
                <w:sz w:val="20"/>
                <w:szCs w:val="28"/>
              </w:rPr>
              <w:t>□警告。</w:t>
            </w:r>
          </w:p>
          <w:p w:rsidR="00B81024" w:rsidRPr="008B69BF" w:rsidRDefault="00B81024" w:rsidP="007B1D11">
            <w:pPr>
              <w:adjustRightInd w:val="0"/>
              <w:snapToGrid w:val="0"/>
              <w:ind w:firstLineChars="350" w:firstLine="700"/>
              <w:rPr>
                <w:rFonts w:ascii="仿宋" w:eastAsia="仿宋" w:hAnsi="仿宋"/>
                <w:color w:val="000000"/>
                <w:sz w:val="20"/>
                <w:szCs w:val="28"/>
              </w:rPr>
            </w:pPr>
            <w:r w:rsidRPr="008B69BF">
              <w:rPr>
                <w:rFonts w:ascii="仿宋" w:eastAsia="仿宋" w:hAnsi="仿宋"/>
                <w:color w:val="000000"/>
                <w:sz w:val="20"/>
                <w:szCs w:val="28"/>
              </w:rPr>
              <w:t>□责令限期改正。</w:t>
            </w:r>
          </w:p>
          <w:p w:rsidR="00B81024" w:rsidRPr="008B69BF" w:rsidRDefault="00B81024" w:rsidP="007B1D11">
            <w:pPr>
              <w:adjustRightInd w:val="0"/>
              <w:snapToGrid w:val="0"/>
              <w:ind w:firstLineChars="350" w:firstLine="700"/>
              <w:rPr>
                <w:rFonts w:ascii="仿宋" w:eastAsia="仿宋" w:hAnsi="仿宋"/>
                <w:color w:val="000000"/>
                <w:sz w:val="20"/>
                <w:szCs w:val="28"/>
              </w:rPr>
            </w:pPr>
            <w:r w:rsidRPr="008B69BF">
              <w:rPr>
                <w:rFonts w:ascii="仿宋" w:eastAsia="仿宋" w:hAnsi="仿宋"/>
                <w:color w:val="000000"/>
                <w:sz w:val="20"/>
                <w:szCs w:val="28"/>
              </w:rPr>
              <w:t>□罚款。</w:t>
            </w:r>
          </w:p>
          <w:p w:rsidR="00B81024" w:rsidRPr="008B69BF" w:rsidRDefault="00B81024" w:rsidP="007B1D11">
            <w:pPr>
              <w:adjustRightInd w:val="0"/>
              <w:snapToGrid w:val="0"/>
              <w:ind w:firstLineChars="350" w:firstLine="700"/>
              <w:rPr>
                <w:rFonts w:ascii="仿宋" w:eastAsia="仿宋" w:hAnsi="仿宋"/>
                <w:color w:val="000000"/>
                <w:sz w:val="20"/>
                <w:szCs w:val="28"/>
              </w:rPr>
            </w:pPr>
            <w:r w:rsidRPr="008B69BF">
              <w:rPr>
                <w:rFonts w:ascii="仿宋" w:eastAsia="仿宋" w:hAnsi="仿宋"/>
                <w:color w:val="000000"/>
                <w:sz w:val="20"/>
                <w:szCs w:val="28"/>
              </w:rPr>
              <w:t>□责令停止作业。</w:t>
            </w:r>
          </w:p>
          <w:p w:rsidR="00B81024" w:rsidRPr="008B69BF" w:rsidRDefault="00B81024" w:rsidP="007B1D11">
            <w:pPr>
              <w:adjustRightInd w:val="0"/>
              <w:snapToGrid w:val="0"/>
              <w:ind w:firstLineChars="350" w:firstLine="700"/>
              <w:rPr>
                <w:rFonts w:ascii="仿宋" w:eastAsia="仿宋" w:hAnsi="仿宋"/>
                <w:color w:val="000000"/>
                <w:sz w:val="20"/>
                <w:szCs w:val="28"/>
              </w:rPr>
            </w:pPr>
            <w:r w:rsidRPr="008B69BF">
              <w:rPr>
                <w:rFonts w:ascii="仿宋" w:eastAsia="仿宋" w:hAnsi="仿宋"/>
                <w:color w:val="000000"/>
                <w:sz w:val="20"/>
                <w:szCs w:val="28"/>
              </w:rPr>
              <w:t>□提请地方人民政府予以关闭。</w:t>
            </w:r>
          </w:p>
          <w:p w:rsidR="00B81024" w:rsidRPr="008B69BF" w:rsidRDefault="00B81024" w:rsidP="007B1D11">
            <w:pPr>
              <w:adjustRightInd w:val="0"/>
              <w:snapToGrid w:val="0"/>
              <w:ind w:firstLineChars="3200" w:firstLine="6400"/>
              <w:rPr>
                <w:rFonts w:ascii="仿宋" w:eastAsia="仿宋" w:hAnsi="仿宋"/>
                <w:color w:val="000000"/>
                <w:sz w:val="20"/>
                <w:szCs w:val="28"/>
              </w:rPr>
            </w:pPr>
          </w:p>
          <w:p w:rsidR="00B81024" w:rsidRPr="008B69BF" w:rsidRDefault="00B81024" w:rsidP="007B1D11">
            <w:pPr>
              <w:adjustRightInd w:val="0"/>
              <w:snapToGrid w:val="0"/>
              <w:ind w:firstLineChars="3200" w:firstLine="6400"/>
              <w:rPr>
                <w:rFonts w:ascii="仿宋" w:eastAsia="仿宋" w:hAnsi="仿宋"/>
                <w:color w:val="000000"/>
                <w:sz w:val="20"/>
                <w:szCs w:val="28"/>
              </w:rPr>
            </w:pPr>
            <w:r w:rsidRPr="008B69BF">
              <w:rPr>
                <w:rFonts w:ascii="仿宋" w:eastAsia="仿宋" w:hAnsi="仿宋"/>
                <w:color w:val="000000"/>
                <w:sz w:val="20"/>
                <w:szCs w:val="28"/>
              </w:rPr>
              <w:t>检查人员：</w:t>
            </w:r>
          </w:p>
          <w:p w:rsidR="00B81024" w:rsidRPr="008B69BF" w:rsidRDefault="00B81024" w:rsidP="007B1D11">
            <w:pPr>
              <w:wordWrap w:val="0"/>
              <w:adjustRightInd w:val="0"/>
              <w:snapToGrid w:val="0"/>
              <w:ind w:right="880"/>
              <w:jc w:val="center"/>
              <w:rPr>
                <w:rFonts w:ascii="仿宋" w:eastAsia="仿宋" w:hAnsi="仿宋"/>
                <w:color w:val="000000"/>
                <w:sz w:val="20"/>
                <w:szCs w:val="28"/>
              </w:rPr>
            </w:pPr>
            <w:r w:rsidRPr="008B69BF">
              <w:rPr>
                <w:rFonts w:ascii="仿宋" w:eastAsia="仿宋" w:hAnsi="仿宋" w:hint="eastAsia"/>
                <w:color w:val="000000"/>
                <w:sz w:val="20"/>
                <w:szCs w:val="28"/>
              </w:rPr>
              <w:t xml:space="preserve">                                                                                                          </w:t>
            </w:r>
            <w:r w:rsidRPr="008B69BF">
              <w:rPr>
                <w:rFonts w:ascii="仿宋" w:eastAsia="仿宋" w:hAnsi="仿宋"/>
                <w:color w:val="000000"/>
                <w:sz w:val="20"/>
                <w:szCs w:val="28"/>
              </w:rPr>
              <w:t>年    月    日</w:t>
            </w:r>
          </w:p>
          <w:p w:rsidR="00B81024" w:rsidRPr="0085741C" w:rsidRDefault="00B81024" w:rsidP="007B1D11">
            <w:pPr>
              <w:adjustRightInd w:val="0"/>
              <w:snapToGrid w:val="0"/>
              <w:rPr>
                <w:color w:val="000000"/>
                <w:sz w:val="20"/>
              </w:rPr>
            </w:pPr>
          </w:p>
        </w:tc>
      </w:tr>
    </w:tbl>
    <w:p w:rsidR="00B81024" w:rsidRPr="00AD60F0" w:rsidRDefault="00B81024" w:rsidP="00B81024">
      <w:pPr>
        <w:rPr>
          <w:rFonts w:ascii="仿宋" w:eastAsia="仿宋" w:hAnsi="仿宋"/>
          <w:sz w:val="24"/>
        </w:rPr>
      </w:pPr>
      <w:r w:rsidRPr="00AD60F0">
        <w:rPr>
          <w:rFonts w:ascii="仿宋" w:eastAsia="仿宋" w:hAnsi="仿宋" w:hint="eastAsia"/>
          <w:sz w:val="24"/>
        </w:rPr>
        <w:t>备注：此表用于检查单位和检查人执法检查时</w:t>
      </w:r>
      <w:proofErr w:type="gramStart"/>
      <w:r w:rsidRPr="00AD60F0">
        <w:rPr>
          <w:rFonts w:ascii="仿宋" w:eastAsia="仿宋" w:hAnsi="仿宋" w:hint="eastAsia"/>
          <w:sz w:val="24"/>
        </w:rPr>
        <w:t>做为</w:t>
      </w:r>
      <w:proofErr w:type="gramEnd"/>
      <w:r w:rsidRPr="00AD60F0">
        <w:rPr>
          <w:rFonts w:ascii="仿宋" w:eastAsia="仿宋" w:hAnsi="仿宋" w:hint="eastAsia"/>
          <w:sz w:val="24"/>
        </w:rPr>
        <w:t>参照标准</w:t>
      </w:r>
      <w:r>
        <w:rPr>
          <w:rFonts w:ascii="仿宋" w:eastAsia="仿宋" w:hAnsi="仿宋" w:hint="eastAsia"/>
          <w:sz w:val="24"/>
        </w:rPr>
        <w:t>和执法依据</w:t>
      </w:r>
      <w:r w:rsidRPr="00AD60F0">
        <w:rPr>
          <w:rFonts w:ascii="仿宋" w:eastAsia="仿宋" w:hAnsi="仿宋" w:hint="eastAsia"/>
          <w:sz w:val="24"/>
        </w:rPr>
        <w:t>，并认真填写检查情况留档保存</w:t>
      </w:r>
      <w:r>
        <w:rPr>
          <w:rFonts w:ascii="仿宋" w:eastAsia="仿宋" w:hAnsi="仿宋" w:hint="eastAsia"/>
          <w:sz w:val="24"/>
        </w:rPr>
        <w:t>。</w:t>
      </w:r>
    </w:p>
    <w:p w:rsidR="0088304D" w:rsidRPr="00B81024" w:rsidRDefault="0088304D">
      <w:bookmarkStart w:id="12" w:name="_GoBack"/>
      <w:bookmarkEnd w:id="12"/>
    </w:p>
    <w:sectPr w:rsidR="0088304D" w:rsidRPr="00B81024" w:rsidSect="00B8102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24"/>
    <w:rsid w:val="0088304D"/>
    <w:rsid w:val="009B68F7"/>
    <w:rsid w:val="00B81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D7F96-1223-4CBA-9DF7-AEA55ED6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024"/>
    <w:pPr>
      <w:widowControl w:val="0"/>
      <w:spacing w:line="240" w:lineRule="auto"/>
    </w:pPr>
    <w:rPr>
      <w:rFonts w:ascii="Times New Roman"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Bitsino</dc:creator>
  <cp:keywords/>
  <dc:description/>
  <cp:lastModifiedBy>Bitsino</cp:lastModifiedBy>
  <cp:revision>1</cp:revision>
  <dcterms:created xsi:type="dcterms:W3CDTF">2019-08-16T06:37:00Z</dcterms:created>
  <dcterms:modified xsi:type="dcterms:W3CDTF">2019-08-16T06:37:00Z</dcterms:modified>
</cp:coreProperties>
</file>