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EF6" w:rsidRDefault="00DE2EF6" w:rsidP="00DE2EF6">
      <w:pPr>
        <w:rPr>
          <w:rFonts w:ascii="Times New Roman" w:eastAsia="黑体" w:hAnsi="Times New Roman"/>
          <w:color w:val="000000"/>
          <w:kern w:val="0"/>
          <w:sz w:val="36"/>
          <w:szCs w:val="28"/>
        </w:rPr>
      </w:pPr>
      <w:r>
        <w:rPr>
          <w:rFonts w:ascii="黑体" w:eastAsia="黑体" w:hAnsi="黑体" w:hint="eastAsia"/>
          <w:color w:val="000000"/>
          <w:kern w:val="0"/>
          <w:sz w:val="36"/>
          <w:szCs w:val="28"/>
        </w:rPr>
        <w:t>附件</w:t>
      </w:r>
      <w:r>
        <w:rPr>
          <w:rFonts w:ascii="Times New Roman" w:eastAsia="黑体" w:hAnsi="Times New Roman" w:hint="eastAsia"/>
          <w:color w:val="000000"/>
          <w:kern w:val="0"/>
          <w:sz w:val="36"/>
          <w:szCs w:val="28"/>
        </w:rPr>
        <w:t>5</w:t>
      </w:r>
    </w:p>
    <w:p w:rsidR="00DE2EF6" w:rsidRDefault="00DE2EF6" w:rsidP="00DE2EF6">
      <w:pPr>
        <w:adjustRightInd w:val="0"/>
        <w:snapToGrid w:val="0"/>
        <w:spacing w:line="600" w:lineRule="exact"/>
        <w:jc w:val="center"/>
        <w:rPr>
          <w:rFonts w:ascii="Times New Roman" w:eastAsia="方正小标宋简体" w:hAnsi="Times New Roman" w:hint="eastAsia"/>
          <w:sz w:val="44"/>
          <w:szCs w:val="44"/>
        </w:rPr>
      </w:pPr>
    </w:p>
    <w:p w:rsidR="00DE2EF6" w:rsidRDefault="00DE2EF6" w:rsidP="00DE2EF6">
      <w:pPr>
        <w:adjustRightInd w:val="0"/>
        <w:snapToGrid w:val="0"/>
        <w:spacing w:line="600" w:lineRule="exact"/>
        <w:jc w:val="center"/>
        <w:rPr>
          <w:rFonts w:ascii="Times New Roman" w:eastAsia="方正小标宋简体" w:hAnsi="Times New Roman" w:hint="eastAsia"/>
          <w:sz w:val="44"/>
          <w:szCs w:val="44"/>
        </w:rPr>
      </w:pPr>
      <w:r>
        <w:rPr>
          <w:rFonts w:ascii="Times New Roman" w:eastAsia="方正小标宋简体" w:hAnsi="Times New Roman"/>
          <w:sz w:val="44"/>
          <w:szCs w:val="44"/>
        </w:rPr>
        <w:t>“</w:t>
      </w:r>
      <w:r>
        <w:rPr>
          <w:rFonts w:ascii="Times New Roman" w:eastAsia="方正小标宋简体" w:hAnsi="Times New Roman"/>
          <w:sz w:val="44"/>
          <w:szCs w:val="44"/>
        </w:rPr>
        <w:t>防风险保平安迎大庆</w:t>
      </w:r>
      <w:r>
        <w:rPr>
          <w:rFonts w:ascii="Times New Roman" w:eastAsia="方正小标宋简体" w:hAnsi="Times New Roman"/>
          <w:sz w:val="44"/>
          <w:szCs w:val="44"/>
        </w:rPr>
        <w:t>”</w:t>
      </w:r>
    </w:p>
    <w:p w:rsidR="00DE2EF6" w:rsidRDefault="00DE2EF6" w:rsidP="00DE2EF6">
      <w:pPr>
        <w:adjustRightInd w:val="0"/>
        <w:snapToGrid w:val="0"/>
        <w:spacing w:line="600" w:lineRule="exact"/>
        <w:jc w:val="center"/>
        <w:rPr>
          <w:rFonts w:ascii="Times New Roman" w:eastAsia="方正小标宋简体" w:hAnsi="Times New Roman" w:hint="eastAsia"/>
          <w:sz w:val="44"/>
          <w:szCs w:val="44"/>
        </w:rPr>
      </w:pPr>
      <w:r>
        <w:rPr>
          <w:rFonts w:ascii="Times New Roman" w:eastAsia="方正小标宋简体" w:hAnsi="Times New Roman"/>
          <w:sz w:val="44"/>
          <w:szCs w:val="44"/>
        </w:rPr>
        <w:t>消防安全</w:t>
      </w:r>
      <w:r>
        <w:rPr>
          <w:rFonts w:ascii="Times New Roman" w:eastAsia="方正小标宋简体" w:hAnsi="Times New Roman" w:hint="eastAsia"/>
          <w:sz w:val="44"/>
          <w:szCs w:val="44"/>
        </w:rPr>
        <w:t>执法检查专项行动公告</w:t>
      </w:r>
    </w:p>
    <w:p w:rsidR="00DE2EF6" w:rsidRDefault="00DE2EF6" w:rsidP="00DE2EF6">
      <w:pPr>
        <w:adjustRightInd w:val="0"/>
        <w:snapToGrid w:val="0"/>
        <w:spacing w:line="600" w:lineRule="exact"/>
        <w:jc w:val="center"/>
        <w:rPr>
          <w:rFonts w:ascii="Times New Roman" w:eastAsia="方正小标宋简体" w:hAnsi="Times New Roman"/>
          <w:sz w:val="44"/>
          <w:szCs w:val="44"/>
        </w:rPr>
      </w:pP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为全力遏制群死群伤火灾事故，确保消防安全形势稳定，根据国务院安全生产委员会办公室通知要求，即日起，我区</w:t>
      </w:r>
      <w:r>
        <w:rPr>
          <w:rFonts w:ascii="Times New Roman" w:eastAsia="仿宋_GB2312" w:hAnsi="Times New Roman"/>
          <w:sz w:val="32"/>
          <w:szCs w:val="32"/>
        </w:rPr>
        <w:t>商场市场、</w:t>
      </w:r>
      <w:r>
        <w:rPr>
          <w:rFonts w:ascii="Times New Roman" w:eastAsia="仿宋_GB2312" w:hAnsi="Times New Roman"/>
          <w:sz w:val="32"/>
          <w:szCs w:val="32"/>
        </w:rPr>
        <w:t>“</w:t>
      </w:r>
      <w:r>
        <w:rPr>
          <w:rFonts w:ascii="Times New Roman" w:eastAsia="仿宋_GB2312" w:hAnsi="Times New Roman"/>
          <w:sz w:val="32"/>
          <w:szCs w:val="32"/>
        </w:rPr>
        <w:t>多合一</w:t>
      </w:r>
      <w:r>
        <w:rPr>
          <w:rFonts w:ascii="Times New Roman" w:eastAsia="仿宋_GB2312" w:hAnsi="Times New Roman"/>
          <w:sz w:val="32"/>
          <w:szCs w:val="32"/>
        </w:rPr>
        <w:t>”</w:t>
      </w:r>
      <w:r>
        <w:rPr>
          <w:rFonts w:ascii="Times New Roman" w:eastAsia="仿宋_GB2312" w:hAnsi="Times New Roman"/>
          <w:sz w:val="32"/>
          <w:szCs w:val="32"/>
        </w:rPr>
        <w:t>场所、劳动密集型企业、公共娱乐场所、群租房、宾馆饭店、高层</w:t>
      </w:r>
      <w:r>
        <w:rPr>
          <w:rFonts w:ascii="Times New Roman" w:eastAsia="仿宋_GB2312" w:hAnsi="Times New Roman" w:hint="eastAsia"/>
          <w:sz w:val="32"/>
          <w:szCs w:val="32"/>
        </w:rPr>
        <w:t>公共</w:t>
      </w:r>
      <w:r>
        <w:rPr>
          <w:rFonts w:ascii="Times New Roman" w:eastAsia="仿宋_GB2312" w:hAnsi="Times New Roman"/>
          <w:sz w:val="32"/>
          <w:szCs w:val="32"/>
        </w:rPr>
        <w:t>建筑、</w:t>
      </w:r>
      <w:r>
        <w:rPr>
          <w:rFonts w:ascii="Times New Roman" w:eastAsia="仿宋_GB2312" w:hAnsi="Times New Roman" w:hint="eastAsia"/>
          <w:sz w:val="32"/>
          <w:szCs w:val="32"/>
        </w:rPr>
        <w:t>居民社区、</w:t>
      </w:r>
      <w:r>
        <w:rPr>
          <w:rFonts w:ascii="Times New Roman" w:eastAsia="仿宋_GB2312" w:hAnsi="Times New Roman"/>
          <w:sz w:val="32"/>
          <w:szCs w:val="32"/>
        </w:rPr>
        <w:t>养老院、施工工地等</w:t>
      </w:r>
      <w:r>
        <w:rPr>
          <w:rFonts w:ascii="Times New Roman" w:eastAsia="仿宋_GB2312" w:hAnsi="Times New Roman" w:hint="eastAsia"/>
          <w:sz w:val="32"/>
          <w:szCs w:val="32"/>
        </w:rPr>
        <w:t>重点</w:t>
      </w:r>
      <w:r>
        <w:rPr>
          <w:rFonts w:ascii="Times New Roman" w:eastAsia="仿宋_GB2312" w:hAnsi="Times New Roman"/>
          <w:sz w:val="32"/>
          <w:szCs w:val="32"/>
        </w:rPr>
        <w:t>场所</w:t>
      </w:r>
      <w:r>
        <w:rPr>
          <w:rFonts w:ascii="Times New Roman" w:eastAsia="仿宋_GB2312" w:hAnsi="Times New Roman" w:hint="eastAsia"/>
          <w:sz w:val="32"/>
          <w:szCs w:val="32"/>
        </w:rPr>
        <w:t>，要围绕</w:t>
      </w:r>
      <w:r>
        <w:rPr>
          <w:rFonts w:ascii="Times New Roman" w:eastAsia="仿宋_GB2312" w:hAnsi="Times New Roman" w:hint="eastAsia"/>
          <w:sz w:val="32"/>
          <w:szCs w:val="32"/>
        </w:rPr>
        <w:t>9</w:t>
      </w:r>
      <w:r>
        <w:rPr>
          <w:rFonts w:ascii="Times New Roman" w:eastAsia="仿宋_GB2312" w:hAnsi="Times New Roman" w:hint="eastAsia"/>
          <w:sz w:val="32"/>
          <w:szCs w:val="32"/>
        </w:rPr>
        <w:t>类消防安全突出风险，开展</w:t>
      </w:r>
      <w:r>
        <w:rPr>
          <w:rFonts w:ascii="Times New Roman" w:eastAsia="仿宋_GB2312" w:hAnsi="Times New Roman"/>
          <w:sz w:val="32"/>
          <w:szCs w:val="32"/>
        </w:rPr>
        <w:t>“</w:t>
      </w:r>
      <w:r>
        <w:rPr>
          <w:rFonts w:ascii="Times New Roman" w:eastAsia="仿宋_GB2312" w:hAnsi="Times New Roman"/>
          <w:sz w:val="32"/>
          <w:szCs w:val="32"/>
        </w:rPr>
        <w:t>三自主</w:t>
      </w:r>
      <w:r>
        <w:rPr>
          <w:rFonts w:ascii="Times New Roman" w:eastAsia="仿宋_GB2312" w:hAnsi="Times New Roman" w:hint="eastAsia"/>
          <w:sz w:val="32"/>
          <w:szCs w:val="32"/>
        </w:rPr>
        <w:t>、</w:t>
      </w:r>
      <w:r>
        <w:rPr>
          <w:rFonts w:ascii="Times New Roman" w:eastAsia="仿宋_GB2312" w:hAnsi="Times New Roman"/>
          <w:sz w:val="32"/>
          <w:szCs w:val="32"/>
        </w:rPr>
        <w:t>两公开</w:t>
      </w:r>
      <w:r>
        <w:rPr>
          <w:rFonts w:ascii="Times New Roman" w:eastAsia="仿宋_GB2312" w:hAnsi="Times New Roman" w:hint="eastAsia"/>
          <w:sz w:val="32"/>
          <w:szCs w:val="32"/>
        </w:rPr>
        <w:t>、</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承诺</w:t>
      </w:r>
      <w:r>
        <w:rPr>
          <w:rFonts w:ascii="Times New Roman" w:eastAsia="仿宋_GB2312" w:hAnsi="Times New Roman"/>
          <w:sz w:val="32"/>
          <w:szCs w:val="32"/>
        </w:rPr>
        <w:t>”</w:t>
      </w:r>
      <w:r>
        <w:rPr>
          <w:rFonts w:ascii="Times New Roman" w:eastAsia="仿宋_GB2312" w:hAnsi="Times New Roman" w:hint="eastAsia"/>
          <w:sz w:val="32"/>
          <w:szCs w:val="32"/>
        </w:rPr>
        <w:t>活动（即</w:t>
      </w:r>
      <w:r>
        <w:rPr>
          <w:rFonts w:ascii="Times New Roman" w:eastAsia="仿宋_GB2312" w:hAnsi="Times New Roman"/>
          <w:sz w:val="32"/>
          <w:szCs w:val="32"/>
        </w:rPr>
        <w:t>对照标准自主评估风险、自主检查安全、自主整改隐患，向社会公开消防安全责任人、管理人，并承诺本场所不存在突出风险或者已落实防范措施</w:t>
      </w:r>
      <w:r>
        <w:rPr>
          <w:rFonts w:ascii="Times New Roman" w:eastAsia="仿宋_GB2312" w:hAnsi="Times New Roman" w:hint="eastAsia"/>
          <w:sz w:val="32"/>
          <w:szCs w:val="32"/>
        </w:rPr>
        <w:t>），相关工作要求如下：</w:t>
      </w:r>
    </w:p>
    <w:p w:rsidR="00DE2EF6" w:rsidRDefault="00DE2EF6" w:rsidP="00DE2EF6">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一</w:t>
      </w:r>
      <w:r>
        <w:rPr>
          <w:rFonts w:ascii="黑体" w:eastAsia="黑体" w:hAnsi="黑体" w:hint="eastAsia"/>
          <w:sz w:val="32"/>
          <w:szCs w:val="32"/>
        </w:rPr>
        <w:t>、</w:t>
      </w:r>
      <w:r>
        <w:rPr>
          <w:rFonts w:ascii="黑体" w:eastAsia="黑体" w:hAnsi="黑体"/>
          <w:sz w:val="32"/>
          <w:szCs w:val="32"/>
        </w:rPr>
        <w:t>违规使用易燃可燃材料装修装饰</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商场市场、宾馆饭店、公共娱乐场所等公众聚集场所采用易燃可燃材料装修装饰的，必须拆除或者更换。</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幼儿园、养老院、医院、员工宿舍等人员密集场所，施工工地办公、住宿等临时用房采用易燃可燃材料为芯材的彩钢板搭建的，必须拆除或者更换。</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现有高层建筑、商住楼等场所使用聚氨酯泡沫、聚苯乙烯等易燃可燃材料作外墙外保温系统的，严禁在周边安全距离内燃放烟花爆竹，违规动火作业；确需动火动</w:t>
      </w:r>
      <w:proofErr w:type="gramStart"/>
      <w:r>
        <w:rPr>
          <w:rFonts w:ascii="Times New Roman" w:eastAsia="仿宋_GB2312" w:hAnsi="Times New Roman"/>
          <w:sz w:val="32"/>
          <w:szCs w:val="32"/>
        </w:rPr>
        <w:t>焊施工</w:t>
      </w:r>
      <w:proofErr w:type="gramEnd"/>
      <w:r>
        <w:rPr>
          <w:rFonts w:ascii="Times New Roman" w:eastAsia="仿宋_GB2312" w:hAnsi="Times New Roman"/>
          <w:sz w:val="32"/>
          <w:szCs w:val="32"/>
        </w:rPr>
        <w:t>的，必须严格落实现场监护和防范措施。</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电气线路穿越或者敷设在易燃可燃装修装饰材料中的，必</w:t>
      </w:r>
      <w:r>
        <w:rPr>
          <w:rFonts w:ascii="Times New Roman" w:eastAsia="仿宋_GB2312" w:hAnsi="Times New Roman"/>
          <w:sz w:val="32"/>
          <w:szCs w:val="32"/>
        </w:rPr>
        <w:lastRenderedPageBreak/>
        <w:t>须采取穿管保护等防火措施；开关、插座等电器配件周围必须采取不燃隔热材料进行防火隔离。</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sz w:val="32"/>
          <w:szCs w:val="32"/>
        </w:rPr>
        <w:t>大型活动现场布展使用大量易燃可燃装饰材料的，必须拆除或者更换。</w:t>
      </w:r>
    </w:p>
    <w:p w:rsidR="00DE2EF6" w:rsidRDefault="00DE2EF6" w:rsidP="00DE2EF6">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二</w:t>
      </w:r>
      <w:r>
        <w:rPr>
          <w:rFonts w:ascii="黑体" w:eastAsia="黑体" w:hAnsi="黑体" w:hint="eastAsia"/>
          <w:sz w:val="32"/>
          <w:szCs w:val="32"/>
        </w:rPr>
        <w:t>、</w:t>
      </w:r>
      <w:r>
        <w:rPr>
          <w:rFonts w:ascii="黑体" w:eastAsia="黑体" w:hAnsi="黑体"/>
          <w:sz w:val="32"/>
          <w:szCs w:val="32"/>
        </w:rPr>
        <w:t>防火分隔不到位</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建筑地下与地上部分防火分隔设置不到位或者共用疏散楼梯间且未分隔的，必须用防火隔墙或者防火门将地下和地上部分完全分隔。</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建筑住宅与非住宅部分防火分隔设置不到位的，必须用防火隔墙或者防火门完全分隔。</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防火隔墙、防火卷帘、防火门、防火窗等防火分隔设施损坏的，必须及时修复或者更换。</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楼梯间、前室常闭式防火门常开的，必须立即关闭并保持常闭状态；防火门闭门器、顺序器损坏导致防火门不能自行关闭的，必须及时修复。</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sz w:val="32"/>
          <w:szCs w:val="32"/>
        </w:rPr>
        <w:t>管道穿越墙体处的孔洞、缝隙，竖向管道井与房间、吊顶相连通的孔洞，楼层楼板的缝隙防火分隔不严密的，必须用防火材料填充或者封堵。</w:t>
      </w:r>
    </w:p>
    <w:p w:rsidR="00DE2EF6" w:rsidRDefault="00DE2EF6" w:rsidP="00DE2EF6">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三</w:t>
      </w:r>
      <w:r>
        <w:rPr>
          <w:rFonts w:ascii="黑体" w:eastAsia="黑体" w:hAnsi="黑体" w:hint="eastAsia"/>
          <w:sz w:val="32"/>
          <w:szCs w:val="32"/>
        </w:rPr>
        <w:t>、</w:t>
      </w:r>
      <w:r>
        <w:rPr>
          <w:rFonts w:ascii="黑体" w:eastAsia="黑体" w:hAnsi="黑体"/>
          <w:sz w:val="32"/>
          <w:szCs w:val="32"/>
        </w:rPr>
        <w:t>疏散通道不畅通</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疏散通道、安全出口被封闭、堵塞、占用的，必须立即打通、拆除、清理，恢复畅通。</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人员密集场所在门窗上设置广告牌等影响逃生和灭火救援障碍物的，必须拆除。</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违规搭建临时建筑，占用防火间距、疏散通道的，必须拆除，恢复原状。</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 xml:space="preserve">4. </w:t>
      </w:r>
      <w:r>
        <w:rPr>
          <w:rFonts w:ascii="Times New Roman" w:eastAsia="仿宋_GB2312" w:hAnsi="Times New Roman"/>
          <w:sz w:val="32"/>
          <w:szCs w:val="32"/>
        </w:rPr>
        <w:t>宾馆饭店、员工宿舍等有人员住宿的场所，安全出口必须</w:t>
      </w:r>
      <w:r>
        <w:rPr>
          <w:rFonts w:ascii="Times New Roman" w:eastAsia="仿宋_GB2312" w:hAnsi="Times New Roman"/>
          <w:sz w:val="32"/>
          <w:szCs w:val="32"/>
        </w:rPr>
        <w:t>24</w:t>
      </w:r>
      <w:r>
        <w:rPr>
          <w:rFonts w:ascii="Times New Roman" w:eastAsia="仿宋_GB2312" w:hAnsi="Times New Roman"/>
          <w:sz w:val="32"/>
          <w:szCs w:val="32"/>
        </w:rPr>
        <w:t>小时保持畅通。公众聚集场所在营业期间，安全出口必须保持畅通。</w:t>
      </w:r>
    </w:p>
    <w:p w:rsidR="00DE2EF6" w:rsidRDefault="00DE2EF6" w:rsidP="00DE2EF6">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四</w:t>
      </w:r>
      <w:r>
        <w:rPr>
          <w:rFonts w:ascii="黑体" w:eastAsia="黑体" w:hAnsi="黑体" w:hint="eastAsia"/>
          <w:sz w:val="32"/>
          <w:szCs w:val="32"/>
        </w:rPr>
        <w:t>、</w:t>
      </w:r>
      <w:r>
        <w:rPr>
          <w:rFonts w:ascii="黑体" w:eastAsia="黑体" w:hAnsi="黑体"/>
          <w:sz w:val="32"/>
          <w:szCs w:val="32"/>
        </w:rPr>
        <w:t>违规存放易燃易爆危险品</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人员密集场所、居住场所违规使用、储存易燃易爆危险品的，必须及时搬离。其他场所储存易燃易爆危险品的，必须在明显部位设置禁烟禁火等警示标志，并安排专业人员管理。</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商场市场、施工工地等场所违规堆放易燃可燃物品的，必须及时清理。</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劳动密集型企业生产车间等场所内超量存放易燃易爆原材料或者半成品的，必须及时搬离、清理。</w:t>
      </w:r>
    </w:p>
    <w:p w:rsidR="00DE2EF6" w:rsidRDefault="00DE2EF6" w:rsidP="00DE2EF6">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五</w:t>
      </w:r>
      <w:r>
        <w:rPr>
          <w:rFonts w:ascii="黑体" w:eastAsia="黑体" w:hAnsi="黑体" w:hint="eastAsia"/>
          <w:sz w:val="32"/>
          <w:szCs w:val="32"/>
        </w:rPr>
        <w:t>、</w:t>
      </w:r>
      <w:r>
        <w:rPr>
          <w:rFonts w:ascii="黑体" w:eastAsia="黑体" w:hAnsi="黑体"/>
          <w:sz w:val="32"/>
          <w:szCs w:val="32"/>
        </w:rPr>
        <w:t>消防设施损坏停用</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火灾自动报警系统停用或者不能正常运行的，必须及时维修，恢复系统正常报警功能。</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消防水泵控制柜处于手动控制状态的，必须立即整改，将控制柜设置为自动控制状态，并张贴明显标志。</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自动喷水灭火系统、防火卷帘、机械防排烟等建筑消防设施不能正常联动的，必须及时维修，恢复系统正常联动功能。</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消火栓、自动喷水灭火系统不能正常供水的，必须及时维修，恢复系统正常供水功能。</w:t>
      </w:r>
    </w:p>
    <w:p w:rsidR="00DE2EF6" w:rsidRDefault="00DE2EF6" w:rsidP="00DE2EF6">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六</w:t>
      </w:r>
      <w:r>
        <w:rPr>
          <w:rFonts w:ascii="黑体" w:eastAsia="黑体" w:hAnsi="黑体" w:hint="eastAsia"/>
          <w:sz w:val="32"/>
          <w:szCs w:val="32"/>
        </w:rPr>
        <w:t>、</w:t>
      </w:r>
      <w:r>
        <w:rPr>
          <w:rFonts w:ascii="黑体" w:eastAsia="黑体" w:hAnsi="黑体"/>
          <w:sz w:val="32"/>
          <w:szCs w:val="32"/>
        </w:rPr>
        <w:t>电动自行车违规停放充电</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电动自行车停放在建筑门厅、楼梯间、共用走道等室内公共区域的，必须及时搬离、清理，严禁进楼入户。</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居民住宅楼、员工宿舍等有人员居住的场所内停放电动自行车的，必须搬离，严禁</w:t>
      </w:r>
      <w:r>
        <w:rPr>
          <w:rFonts w:ascii="Times New Roman" w:eastAsia="仿宋_GB2312" w:hAnsi="Times New Roman"/>
          <w:sz w:val="32"/>
          <w:szCs w:val="32"/>
        </w:rPr>
        <w:t>“</w:t>
      </w:r>
      <w:r>
        <w:rPr>
          <w:rFonts w:ascii="Times New Roman" w:eastAsia="仿宋_GB2312" w:hAnsi="Times New Roman"/>
          <w:sz w:val="32"/>
          <w:szCs w:val="32"/>
        </w:rPr>
        <w:t>人车同屋</w:t>
      </w:r>
      <w:r>
        <w:rPr>
          <w:rFonts w:ascii="Times New Roman" w:eastAsia="仿宋_GB2312" w:hAnsi="Times New Roman"/>
          <w:sz w:val="32"/>
          <w:szCs w:val="32"/>
        </w:rPr>
        <w:t>”</w:t>
      </w:r>
      <w:r>
        <w:rPr>
          <w:rFonts w:ascii="Times New Roman" w:eastAsia="仿宋_GB2312" w:hAnsi="Times New Roman"/>
          <w:sz w:val="32"/>
          <w:szCs w:val="32"/>
        </w:rPr>
        <w:t>。</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 xml:space="preserve">3. </w:t>
      </w:r>
      <w:r>
        <w:rPr>
          <w:rFonts w:ascii="Times New Roman" w:eastAsia="仿宋_GB2312" w:hAnsi="Times New Roman"/>
          <w:sz w:val="32"/>
          <w:szCs w:val="32"/>
        </w:rPr>
        <w:t>电动自行车集中停放的部位与其他部位直接连通的，必须设置防火分隔设施。</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电动自行车采取</w:t>
      </w:r>
      <w:r>
        <w:rPr>
          <w:rFonts w:ascii="Times New Roman" w:eastAsia="仿宋_GB2312" w:hAnsi="Times New Roman"/>
          <w:sz w:val="32"/>
          <w:szCs w:val="32"/>
        </w:rPr>
        <w:t>“</w:t>
      </w:r>
      <w:r>
        <w:rPr>
          <w:rFonts w:ascii="Times New Roman" w:eastAsia="仿宋_GB2312" w:hAnsi="Times New Roman"/>
          <w:sz w:val="32"/>
          <w:szCs w:val="32"/>
        </w:rPr>
        <w:t>飞线</w:t>
      </w:r>
      <w:r>
        <w:rPr>
          <w:rFonts w:ascii="Times New Roman" w:eastAsia="仿宋_GB2312" w:hAnsi="Times New Roman"/>
          <w:sz w:val="32"/>
          <w:szCs w:val="32"/>
        </w:rPr>
        <w:t>”</w:t>
      </w:r>
      <w:r>
        <w:rPr>
          <w:rFonts w:ascii="Times New Roman" w:eastAsia="仿宋_GB2312" w:hAnsi="Times New Roman"/>
          <w:sz w:val="32"/>
          <w:szCs w:val="32"/>
        </w:rPr>
        <w:t>、入户等方式违规充电的，必须及时纠正，加强教育警示。</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sz w:val="32"/>
          <w:szCs w:val="32"/>
        </w:rPr>
        <w:t>电动自行车停放周围有易燃可燃物的，必须及时清理，确保安全距离。</w:t>
      </w:r>
    </w:p>
    <w:p w:rsidR="00DE2EF6" w:rsidRDefault="00DE2EF6" w:rsidP="00DE2EF6">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七</w:t>
      </w:r>
      <w:r>
        <w:rPr>
          <w:rFonts w:ascii="黑体" w:eastAsia="黑体" w:hAnsi="黑体" w:hint="eastAsia"/>
          <w:sz w:val="32"/>
          <w:szCs w:val="32"/>
        </w:rPr>
        <w:t>、</w:t>
      </w:r>
      <w:r>
        <w:rPr>
          <w:rFonts w:ascii="黑体" w:eastAsia="黑体" w:hAnsi="黑体"/>
          <w:sz w:val="32"/>
          <w:szCs w:val="32"/>
        </w:rPr>
        <w:t>重点岗位人员责任不落实</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单位未依法明确消防安全责任人、管理人及其职责的，必须及时明确并在醒目位置进行公示。</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消防控制室值班人员不会熟练操作设施设备的，必须组织参加培训，确保培训合格、持证上岗，在紧急情况下能熟练操作设施设备。</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微型消防站队员不能及时有效处置初起火灾的，必须定期组织开展针对性训练、实战化演练，确保达到</w:t>
      </w:r>
      <w:r>
        <w:rPr>
          <w:rFonts w:ascii="Times New Roman" w:eastAsia="仿宋_GB2312" w:hAnsi="Times New Roman"/>
          <w:sz w:val="32"/>
          <w:szCs w:val="32"/>
        </w:rPr>
        <w:t>“</w:t>
      </w:r>
      <w:r>
        <w:rPr>
          <w:rFonts w:ascii="Times New Roman" w:eastAsia="仿宋_GB2312" w:hAnsi="Times New Roman"/>
          <w:sz w:val="32"/>
          <w:szCs w:val="32"/>
        </w:rPr>
        <w:t>三知四会</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联通</w:t>
      </w:r>
      <w:r>
        <w:rPr>
          <w:rFonts w:ascii="Times New Roman" w:eastAsia="仿宋_GB2312" w:hAnsi="Times New Roman"/>
          <w:sz w:val="32"/>
          <w:szCs w:val="32"/>
        </w:rPr>
        <w:t>”</w:t>
      </w:r>
      <w:r>
        <w:rPr>
          <w:rFonts w:ascii="Times New Roman" w:eastAsia="仿宋_GB2312" w:hAnsi="Times New Roman"/>
          <w:sz w:val="32"/>
          <w:szCs w:val="32"/>
        </w:rPr>
        <w:t>要求，能够及时有效处置初起火灾。</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单位未</w:t>
      </w:r>
      <w:proofErr w:type="gramStart"/>
      <w:r>
        <w:rPr>
          <w:rFonts w:ascii="Times New Roman" w:eastAsia="仿宋_GB2312" w:hAnsi="Times New Roman"/>
          <w:sz w:val="32"/>
          <w:szCs w:val="32"/>
        </w:rPr>
        <w:t>作出</w:t>
      </w:r>
      <w:proofErr w:type="gramEnd"/>
      <w:r>
        <w:rPr>
          <w:rFonts w:ascii="Times New Roman" w:eastAsia="仿宋_GB2312" w:hAnsi="Times New Roman"/>
          <w:sz w:val="32"/>
          <w:szCs w:val="32"/>
        </w:rPr>
        <w:t>整改消除突出风险承诺的，必须在醒目位置向社会公开承诺本场所不存在突出风险或者已落实防范措施。</w:t>
      </w:r>
    </w:p>
    <w:p w:rsidR="00DE2EF6" w:rsidRDefault="00DE2EF6" w:rsidP="00DE2EF6">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八</w:t>
      </w:r>
      <w:r>
        <w:rPr>
          <w:rFonts w:ascii="黑体" w:eastAsia="黑体" w:hAnsi="黑体" w:hint="eastAsia"/>
          <w:sz w:val="32"/>
          <w:szCs w:val="32"/>
        </w:rPr>
        <w:t>、</w:t>
      </w:r>
      <w:r>
        <w:rPr>
          <w:rFonts w:ascii="黑体" w:eastAsia="黑体" w:hAnsi="黑体"/>
          <w:sz w:val="32"/>
          <w:szCs w:val="32"/>
        </w:rPr>
        <w:t>日常管理机制不健全</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单位未定期开展建筑消防设施检测和维护保养，并完整准确记录的，必须落实日常检查维修保养制度，每年至少进行一次全面检测，确保完好有效，并如实制作</w:t>
      </w:r>
      <w:proofErr w:type="gramStart"/>
      <w:r>
        <w:rPr>
          <w:rFonts w:ascii="Times New Roman" w:eastAsia="仿宋_GB2312" w:hAnsi="Times New Roman"/>
          <w:sz w:val="32"/>
          <w:szCs w:val="32"/>
        </w:rPr>
        <w:t>检测维保记录</w:t>
      </w:r>
      <w:proofErr w:type="gramEnd"/>
      <w:r>
        <w:rPr>
          <w:rFonts w:ascii="Times New Roman" w:eastAsia="仿宋_GB2312" w:hAnsi="Times New Roman"/>
          <w:sz w:val="32"/>
          <w:szCs w:val="32"/>
        </w:rPr>
        <w:t>，存档备查。</w:t>
      </w:r>
    </w:p>
    <w:p w:rsidR="00DE2EF6" w:rsidRDefault="00DE2EF6" w:rsidP="00DE2EF6">
      <w:pPr>
        <w:adjustRightInd w:val="0"/>
        <w:snapToGrid w:val="0"/>
        <w:spacing w:line="560" w:lineRule="exact"/>
        <w:ind w:firstLineChars="200" w:firstLine="624"/>
        <w:rPr>
          <w:rFonts w:ascii="Times New Roman" w:eastAsia="仿宋_GB2312" w:hAnsi="Times New Roman"/>
          <w:spacing w:val="-4"/>
          <w:sz w:val="32"/>
          <w:szCs w:val="32"/>
        </w:rPr>
      </w:pPr>
      <w:r>
        <w:rPr>
          <w:rFonts w:ascii="Times New Roman" w:eastAsia="仿宋_GB2312" w:hAnsi="Times New Roman"/>
          <w:spacing w:val="-4"/>
          <w:sz w:val="32"/>
          <w:szCs w:val="32"/>
        </w:rPr>
        <w:t xml:space="preserve">2. </w:t>
      </w:r>
      <w:r>
        <w:rPr>
          <w:rFonts w:ascii="Times New Roman" w:eastAsia="仿宋_GB2312" w:hAnsi="Times New Roman"/>
          <w:spacing w:val="-4"/>
          <w:sz w:val="32"/>
          <w:szCs w:val="32"/>
        </w:rPr>
        <w:t>单位未定期开展检查巡查，并如实登记报告的，必须安排专人开展防火检查巡查，及时发现火灾隐患并妥善处置；消防安全重</w:t>
      </w:r>
      <w:r>
        <w:rPr>
          <w:rFonts w:ascii="Times New Roman" w:eastAsia="仿宋_GB2312" w:hAnsi="Times New Roman"/>
          <w:sz w:val="32"/>
          <w:szCs w:val="32"/>
        </w:rPr>
        <w:t>点单位必须每日开展防火巡查，公众聚集场所在营业期间必须每二小时开展一次防火巡查，医院、养老院、寄宿制学校、幼儿园必</w:t>
      </w:r>
      <w:r>
        <w:rPr>
          <w:rFonts w:ascii="Times New Roman" w:eastAsia="仿宋_GB2312" w:hAnsi="Times New Roman"/>
          <w:sz w:val="32"/>
          <w:szCs w:val="32"/>
        </w:rPr>
        <w:lastRenderedPageBreak/>
        <w:t>须加强夜间防火巡查。</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单位存在火灾隐患的，必须及时整改消除火灾隐患；在火灾隐患消除之前，必须落实安全防范措施，确保消防安全。</w:t>
      </w:r>
    </w:p>
    <w:p w:rsidR="00DE2EF6" w:rsidRDefault="00DE2EF6" w:rsidP="00DE2EF6">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九</w:t>
      </w:r>
      <w:r>
        <w:rPr>
          <w:rFonts w:ascii="黑体" w:eastAsia="黑体" w:hAnsi="黑体" w:hint="eastAsia"/>
          <w:sz w:val="32"/>
          <w:szCs w:val="32"/>
        </w:rPr>
        <w:t>、</w:t>
      </w:r>
      <w:r>
        <w:rPr>
          <w:rFonts w:ascii="黑体" w:eastAsia="黑体" w:hAnsi="黑体"/>
          <w:sz w:val="32"/>
          <w:szCs w:val="32"/>
        </w:rPr>
        <w:t>宣传教育培训不深入</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重点单位检查整改隐患、扑救初起火灾、组织人员疏散、开展宣传培训能力不足的，必须加强单位消防安全培训工作，开展示范性检查，完善灭火和应急疏散预案并组织演练，确保突发情况下及时扑救初起火灾，疏散在场群众。</w:t>
      </w:r>
    </w:p>
    <w:p w:rsidR="00DE2EF6" w:rsidRDefault="00DE2EF6" w:rsidP="00DE2EF6">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一般单位员工不了解本场所火灾危险性，不会报警、不会灭火、不会逃生的，必须定期组织员工进行消防安全培训，加强新入职员工岗前培训，使其了解本场所本岗位火灾危险性，掌握报火警、扑救初起火灾、自救逃生的知识和技能。人员密集场所现场工作人员，在突发情况下必须组织、引导在场人员疏散。</w:t>
      </w:r>
    </w:p>
    <w:p w:rsidR="00DE2EF6" w:rsidRDefault="00DE2EF6" w:rsidP="00DE2EF6">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上述单位场所要</w:t>
      </w:r>
      <w:r>
        <w:rPr>
          <w:rFonts w:ascii="黑体" w:eastAsia="黑体" w:hAnsi="黑体"/>
          <w:sz w:val="32"/>
          <w:szCs w:val="32"/>
        </w:rPr>
        <w:t>对自查自改情况登记造册，建立隐患清单、整改清单、责任清单，并</w:t>
      </w:r>
      <w:r>
        <w:rPr>
          <w:rFonts w:ascii="黑体" w:eastAsia="黑体" w:hAnsi="黑体" w:hint="eastAsia"/>
          <w:sz w:val="32"/>
          <w:szCs w:val="32"/>
        </w:rPr>
        <w:t>于5月24日底前将</w:t>
      </w:r>
      <w:r>
        <w:rPr>
          <w:rFonts w:ascii="黑体" w:eastAsia="黑体" w:hAnsi="黑体"/>
          <w:sz w:val="32"/>
          <w:szCs w:val="32"/>
        </w:rPr>
        <w:t>评估结果、自查自改、消防安全承诺情况书面报告</w:t>
      </w:r>
      <w:r>
        <w:rPr>
          <w:rFonts w:ascii="黑体" w:eastAsia="黑体" w:hAnsi="黑体" w:hint="eastAsia"/>
          <w:sz w:val="32"/>
          <w:szCs w:val="32"/>
        </w:rPr>
        <w:t>区消防支队</w:t>
      </w:r>
      <w:r>
        <w:rPr>
          <w:rFonts w:ascii="黑体" w:eastAsia="黑体" w:hAnsi="黑体"/>
          <w:sz w:val="32"/>
          <w:szCs w:val="32"/>
        </w:rPr>
        <w:t>。相关行业部门</w:t>
      </w:r>
      <w:r>
        <w:rPr>
          <w:rFonts w:ascii="黑体" w:eastAsia="黑体" w:hAnsi="黑体" w:hint="eastAsia"/>
          <w:sz w:val="32"/>
          <w:szCs w:val="32"/>
        </w:rPr>
        <w:t>将</w:t>
      </w:r>
      <w:r>
        <w:rPr>
          <w:rFonts w:ascii="黑体" w:eastAsia="黑体" w:hAnsi="黑体"/>
          <w:sz w:val="32"/>
          <w:szCs w:val="32"/>
        </w:rPr>
        <w:t>结合单位自查自改情况，逐类场所、逐类风险进行排查，分门别类建立排查台账。</w:t>
      </w:r>
      <w:r>
        <w:rPr>
          <w:rFonts w:ascii="黑体" w:eastAsia="黑体" w:hAnsi="黑体" w:hint="eastAsia"/>
          <w:sz w:val="32"/>
          <w:szCs w:val="32"/>
        </w:rPr>
        <w:t>相关执法</w:t>
      </w:r>
      <w:r>
        <w:rPr>
          <w:rFonts w:ascii="黑体" w:eastAsia="黑体" w:hAnsi="黑体"/>
          <w:sz w:val="32"/>
          <w:szCs w:val="32"/>
        </w:rPr>
        <w:t>部门</w:t>
      </w:r>
      <w:r>
        <w:rPr>
          <w:rFonts w:ascii="黑体" w:eastAsia="黑体" w:hAnsi="黑体" w:hint="eastAsia"/>
          <w:sz w:val="32"/>
          <w:szCs w:val="32"/>
        </w:rPr>
        <w:t>将</w:t>
      </w:r>
      <w:r>
        <w:rPr>
          <w:rFonts w:ascii="黑体" w:eastAsia="黑体" w:hAnsi="黑体"/>
          <w:sz w:val="32"/>
          <w:szCs w:val="32"/>
        </w:rPr>
        <w:t>根据单位自查自改和公开承诺情况，强化执法检查，发现在自查、排查中弄虚作假或存在突出风险隐患的，依法从严从重惩处。对严重失信、隐患久拖不改的单位及其负责人，纳入消防安全失信“黑名单”，实施联合惩戒。</w:t>
      </w:r>
    </w:p>
    <w:p w:rsidR="00DE2EF6" w:rsidRDefault="00DE2EF6" w:rsidP="00DE2EF6"/>
    <w:p w:rsidR="0088304D" w:rsidRPr="00DE2EF6" w:rsidRDefault="0088304D">
      <w:bookmarkStart w:id="0" w:name="_GoBack"/>
      <w:bookmarkEnd w:id="0"/>
    </w:p>
    <w:sectPr w:rsidR="0088304D" w:rsidRPr="00DE2EF6">
      <w:pgSz w:w="11906" w:h="16838"/>
      <w:pgMar w:top="1417" w:right="1417" w:bottom="1417" w:left="141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F6"/>
    <w:rsid w:val="0088304D"/>
    <w:rsid w:val="009B68F7"/>
    <w:rsid w:val="00DE2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7DD66-1FD9-4B51-BD19-429AC384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heme="minorBidi"/>
        <w:kern w:val="2"/>
        <w:sz w:val="24"/>
        <w:szCs w:val="22"/>
        <w:lang w:val="en-US"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EF6"/>
    <w:pPr>
      <w:widowControl w:val="0"/>
      <w:spacing w:line="240" w:lineRule="auto"/>
    </w:pPr>
    <w:rPr>
      <w:rFonts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Bitsino</dc:creator>
  <cp:keywords/>
  <dc:description/>
  <cp:lastModifiedBy>Bitsino</cp:lastModifiedBy>
  <cp:revision>1</cp:revision>
  <dcterms:created xsi:type="dcterms:W3CDTF">2019-06-24T06:09:00Z</dcterms:created>
  <dcterms:modified xsi:type="dcterms:W3CDTF">2019-06-24T06:09:00Z</dcterms:modified>
</cp:coreProperties>
</file>