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Lines="50" w:line="580" w:lineRule="exact"/>
        <w:rPr>
          <w:rFonts w:ascii="黑体" w:hAnsi="黑体" w:eastAsia="黑体" w:cs="黑体"/>
          <w:sz w:val="32"/>
          <w:szCs w:val="32"/>
          <w:u w:val="single"/>
          <w:lang w:eastAsia="zh-CN"/>
        </w:rPr>
      </w:pPr>
      <w:r>
        <w:rPr>
          <w:rFonts w:hint="eastAsia" w:ascii="宋体" w:hAnsi="宋体"/>
          <w:sz w:val="30"/>
          <w:szCs w:val="30"/>
          <w:lang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6：畜禽屠宰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加工企业现场评价标准                             </w:t>
      </w:r>
    </w:p>
    <w:p>
      <w:pPr>
        <w:adjustRightInd w:val="0"/>
        <w:snapToGrid w:val="0"/>
        <w:spacing w:afterLines="50" w:line="580" w:lineRule="exact"/>
        <w:ind w:firstLine="320" w:firstLineChars="100"/>
        <w:rPr>
          <w:rFonts w:ascii="黑体" w:hAnsi="黑体" w:eastAsia="黑体" w:cs="黑体"/>
          <w:kern w:val="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名称：</w:t>
      </w:r>
      <w:r>
        <w:rPr>
          <w:rFonts w:hint="eastAsia" w:ascii="黑体" w:hAnsi="黑体" w:eastAsia="黑体" w:cs="黑体"/>
          <w:sz w:val="32"/>
          <w:szCs w:val="32"/>
          <w:u w:val="single"/>
          <w:lang w:eastAsia="zh-CN"/>
        </w:rPr>
        <w:t xml:space="preserve">                           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                    评估人员：</w:t>
      </w:r>
      <w:r>
        <w:rPr>
          <w:rFonts w:hint="eastAsia" w:ascii="黑体" w:hAnsi="黑体" w:eastAsia="黑体" w:cs="黑体"/>
          <w:sz w:val="32"/>
          <w:szCs w:val="32"/>
          <w:u w:val="single"/>
          <w:lang w:eastAsia="zh-CN"/>
        </w:rPr>
        <w:t xml:space="preserve">                 </w:t>
      </w:r>
    </w:p>
    <w:tbl>
      <w:tblPr>
        <w:tblStyle w:val="5"/>
        <w:tblW w:w="141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7"/>
        <w:gridCol w:w="870"/>
        <w:gridCol w:w="9090"/>
        <w:gridCol w:w="1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777" w:type="dxa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评价要点</w:t>
            </w:r>
          </w:p>
        </w:tc>
        <w:tc>
          <w:tcPr>
            <w:tcW w:w="870" w:type="dxa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9090" w:type="dxa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评价内容</w:t>
            </w:r>
          </w:p>
        </w:tc>
        <w:tc>
          <w:tcPr>
            <w:tcW w:w="1392" w:type="dxa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777" w:type="dxa"/>
            <w:vMerge w:val="restart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一、落实良好行为规范</w:t>
            </w: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9090" w:type="dxa"/>
          </w:tcPr>
          <w:p>
            <w:pPr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厂区应划分为生产区和非生产区。活畜禽、废弃物运送与成品出厂不得共用一个大门,场内不得共用一个通道。</w:t>
            </w:r>
          </w:p>
        </w:tc>
        <w:tc>
          <w:tcPr>
            <w:tcW w:w="1392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777" w:type="dxa"/>
            <w:vMerge w:val="continue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9090" w:type="dxa"/>
          </w:tcPr>
          <w:p>
            <w:pPr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车间清洁区与非清洁区分开。</w:t>
            </w:r>
          </w:p>
        </w:tc>
        <w:tc>
          <w:tcPr>
            <w:tcW w:w="1392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777" w:type="dxa"/>
            <w:vMerge w:val="continue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1.3</w:t>
            </w:r>
          </w:p>
        </w:tc>
        <w:tc>
          <w:tcPr>
            <w:tcW w:w="9090" w:type="dxa"/>
          </w:tcPr>
          <w:p>
            <w:pPr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车间入口处、卫生间及车间内适当的地点设置与生产能力相适应的,配有适宜温度的洗手设施及消毒、干手设施。洗手设施应采用非手动式开关,排水应直接接入下水管道。</w:t>
            </w:r>
          </w:p>
        </w:tc>
        <w:tc>
          <w:tcPr>
            <w:tcW w:w="1392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777" w:type="dxa"/>
            <w:vMerge w:val="continue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1.4</w:t>
            </w:r>
          </w:p>
        </w:tc>
        <w:tc>
          <w:tcPr>
            <w:tcW w:w="9090" w:type="dxa"/>
          </w:tcPr>
          <w:p>
            <w:pPr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生产车间入口及车间内必要处,应设置换鞋(穿戴鞋套)设施或工作鞋靴消毒设施,其规格尺寸应能满足消毒需要。</w:t>
            </w:r>
          </w:p>
        </w:tc>
        <w:tc>
          <w:tcPr>
            <w:tcW w:w="1392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777" w:type="dxa"/>
            <w:vMerge w:val="continue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1.5</w:t>
            </w:r>
          </w:p>
        </w:tc>
        <w:tc>
          <w:tcPr>
            <w:tcW w:w="9090" w:type="dxa"/>
          </w:tcPr>
          <w:p>
            <w:pPr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依法应获畜禽屠宰许可，方能生产经营的单位，并提供企业的相关信息，包含企业名称、地址、联系电话、许可证编号或备案号、发证时间、证件有效时限。</w:t>
            </w:r>
          </w:p>
        </w:tc>
        <w:tc>
          <w:tcPr>
            <w:tcW w:w="1392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777" w:type="dxa"/>
            <w:vMerge w:val="continue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1.6</w:t>
            </w:r>
          </w:p>
        </w:tc>
        <w:tc>
          <w:tcPr>
            <w:tcW w:w="9090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索取并留存畜禽废弃物收运者的资质证明复印件（需加盖收运者公章或由收运者签字），并与其签订收运合同或协议；企业自身处理的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，应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建立畜禽废弃物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处置台账，详细记录处置时间、种类、数量、处置方式等信息。</w:t>
            </w:r>
          </w:p>
        </w:tc>
        <w:tc>
          <w:tcPr>
            <w:tcW w:w="1392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777" w:type="dxa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二、管理制度健全</w:t>
            </w: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2.1</w:t>
            </w:r>
          </w:p>
        </w:tc>
        <w:tc>
          <w:tcPr>
            <w:tcW w:w="9090" w:type="dxa"/>
          </w:tcPr>
          <w:p>
            <w:pPr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畜禽屠宰加工企业应建立相关记录制度并有效实施（制度包括：畜禽入场验收、宰前检查、宰后检查、无害化处理、消毒、贮存等环节,以及屠宰加工设备、设施、运输车辆和器具的维护记录、企业人员培训、产品卫生质量情况的有关记录）。</w:t>
            </w:r>
          </w:p>
        </w:tc>
        <w:tc>
          <w:tcPr>
            <w:tcW w:w="1392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777" w:type="dxa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三、人员管理</w:t>
            </w: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3.1</w:t>
            </w:r>
          </w:p>
        </w:tc>
        <w:tc>
          <w:tcPr>
            <w:tcW w:w="9090" w:type="dxa"/>
          </w:tcPr>
          <w:p>
            <w:pPr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从事肉类直接接触操作人员必须持有有效健康证明、从事肉类生产加工、检疫检验和管理的人员应保持个人卫生、企业应配备相应数量的检疫检验人员（具有检验合格证）。</w:t>
            </w:r>
          </w:p>
        </w:tc>
        <w:tc>
          <w:tcPr>
            <w:tcW w:w="1392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777" w:type="dxa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四、培训教育</w:t>
            </w: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4.1</w:t>
            </w:r>
          </w:p>
        </w:tc>
        <w:tc>
          <w:tcPr>
            <w:tcW w:w="9090" w:type="dxa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畜禽屠宰加工企业负责人、肉类食品加工操作人员、食用副产品等主要操作人员每人每年接受食品安全法律法规、科学知识和畜禽屠宰专业技能的集中培训不少于40个小时 。</w:t>
            </w:r>
          </w:p>
        </w:tc>
        <w:tc>
          <w:tcPr>
            <w:tcW w:w="13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777" w:type="dxa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五、追溯情况</w:t>
            </w: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5.1</w:t>
            </w:r>
          </w:p>
        </w:tc>
        <w:tc>
          <w:tcPr>
            <w:tcW w:w="9090" w:type="dxa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建立完善的可追溯体系或者能够通过电子手段实现追溯,确保肉类及其产品存在不可接受的食品安全风险时,能进行追溯 。</w:t>
            </w:r>
          </w:p>
        </w:tc>
        <w:tc>
          <w:tcPr>
            <w:tcW w:w="13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777" w:type="dxa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六、产品召回</w:t>
            </w: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6.1</w:t>
            </w:r>
          </w:p>
        </w:tc>
        <w:tc>
          <w:tcPr>
            <w:tcW w:w="9090" w:type="dxa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畜禽屠宰加工企业应根据相关法律法规建立产品召回制度,当发现出厂产品属于不安全食品时,应进行召回,同时报告官方兽医；召回后的食品做无害化处理和销毁，相关记录完整 。</w:t>
            </w:r>
          </w:p>
        </w:tc>
        <w:tc>
          <w:tcPr>
            <w:tcW w:w="13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777" w:type="dxa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七、培育企业文化</w:t>
            </w: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7.1</w:t>
            </w:r>
          </w:p>
        </w:tc>
        <w:tc>
          <w:tcPr>
            <w:tcW w:w="9090" w:type="dxa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企业注重营造企业文化氛围，做到诚信自律，对社会和公众负责。</w:t>
            </w:r>
          </w:p>
        </w:tc>
        <w:tc>
          <w:tcPr>
            <w:tcW w:w="1392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□是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□否</w:t>
            </w:r>
          </w:p>
        </w:tc>
      </w:tr>
    </w:tbl>
    <w:p>
      <w:pPr>
        <w:rPr>
          <w:rFonts w:hint="eastAsia"/>
          <w:lang w:eastAsia="zh-CN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080485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48079E1"/>
    <w:rsid w:val="000B78B5"/>
    <w:rsid w:val="002B5912"/>
    <w:rsid w:val="002D44F8"/>
    <w:rsid w:val="00483211"/>
    <w:rsid w:val="00A85359"/>
    <w:rsid w:val="00AC24D7"/>
    <w:rsid w:val="00B554DA"/>
    <w:rsid w:val="00B91BCC"/>
    <w:rsid w:val="00C67DAD"/>
    <w:rsid w:val="00D01399"/>
    <w:rsid w:val="00DF5ABB"/>
    <w:rsid w:val="00E04BB9"/>
    <w:rsid w:val="00EF4658"/>
    <w:rsid w:val="00F342B4"/>
    <w:rsid w:val="00F41595"/>
    <w:rsid w:val="02273580"/>
    <w:rsid w:val="155C59D6"/>
    <w:rsid w:val="1D56773A"/>
    <w:rsid w:val="256E6AC3"/>
    <w:rsid w:val="295A10A1"/>
    <w:rsid w:val="2BA23548"/>
    <w:rsid w:val="343A4A8F"/>
    <w:rsid w:val="3A1029FC"/>
    <w:rsid w:val="4F122BAF"/>
    <w:rsid w:val="4F160526"/>
    <w:rsid w:val="53376799"/>
    <w:rsid w:val="546E6A87"/>
    <w:rsid w:val="59976EED"/>
    <w:rsid w:val="5C082D61"/>
    <w:rsid w:val="6A4736DB"/>
    <w:rsid w:val="701145A4"/>
    <w:rsid w:val="746A10FB"/>
    <w:rsid w:val="748079E1"/>
    <w:rsid w:val="7A061C09"/>
    <w:rsid w:val="7BD74FD2"/>
    <w:rsid w:val="7E710986"/>
    <w:rsid w:val="7FC6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Calibri"/>
      <w:kern w:val="1"/>
      <w:sz w:val="21"/>
      <w:szCs w:val="22"/>
      <w:lang w:val="en-US" w:eastAsia="ar-SA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semiHidden/>
    <w:unhideWhenUsed/>
    <w:qFormat/>
    <w:uiPriority w:val="99"/>
    <w:pPr>
      <w:snapToGrid w:val="0"/>
      <w:jc w:val="left"/>
    </w:pPr>
    <w:rPr>
      <w:sz w:val="18"/>
    </w:rPr>
  </w:style>
  <w:style w:type="character" w:styleId="7">
    <w:name w:val="FollowedHyperlink"/>
    <w:basedOn w:val="6"/>
    <w:qFormat/>
    <w:uiPriority w:val="0"/>
    <w:rPr>
      <w:color w:val="800080"/>
      <w:u w:val="none"/>
    </w:rPr>
  </w:style>
  <w:style w:type="character" w:styleId="8">
    <w:name w:val="Hyperlink"/>
    <w:basedOn w:val="6"/>
    <w:qFormat/>
    <w:uiPriority w:val="0"/>
    <w:rPr>
      <w:color w:val="0000FF"/>
      <w:u w:val="none"/>
    </w:rPr>
  </w:style>
  <w:style w:type="character" w:styleId="9">
    <w:name w:val="footnote reference"/>
    <w:basedOn w:val="6"/>
    <w:semiHidden/>
    <w:unhideWhenUsed/>
    <w:qFormat/>
    <w:uiPriority w:val="99"/>
    <w:rPr>
      <w:vertAlign w:val="superscript"/>
    </w:rPr>
  </w:style>
  <w:style w:type="character" w:customStyle="1" w:styleId="10">
    <w:name w:val="current"/>
    <w:basedOn w:val="6"/>
    <w:qFormat/>
    <w:uiPriority w:val="0"/>
    <w:rPr>
      <w:b/>
      <w:color w:val="FFFFFF"/>
      <w:bdr w:val="single" w:color="0862B8" w:sz="6" w:space="0"/>
      <w:shd w:val="clear" w:color="auto" w:fill="0862B8"/>
    </w:rPr>
  </w:style>
  <w:style w:type="character" w:customStyle="1" w:styleId="11">
    <w:name w:val="disabled"/>
    <w:basedOn w:val="6"/>
    <w:qFormat/>
    <w:uiPriority w:val="0"/>
    <w:rPr>
      <w:color w:val="BABABA"/>
      <w:bdr w:val="single" w:color="BABABA" w:sz="6" w:space="0"/>
    </w:rPr>
  </w:style>
  <w:style w:type="character" w:customStyle="1" w:styleId="12">
    <w:name w:val="disabled2"/>
    <w:basedOn w:val="6"/>
    <w:qFormat/>
    <w:uiPriority w:val="0"/>
    <w:rPr>
      <w:color w:val="BABABA"/>
      <w:bdr w:val="single" w:color="BABABA" w:sz="6" w:space="0"/>
    </w:rPr>
  </w:style>
  <w:style w:type="character" w:customStyle="1" w:styleId="13">
    <w:name w:val="页眉 Char"/>
    <w:basedOn w:val="6"/>
    <w:link w:val="3"/>
    <w:uiPriority w:val="0"/>
    <w:rPr>
      <w:rFonts w:cs="Calibri"/>
      <w:kern w:val="1"/>
      <w:sz w:val="18"/>
      <w:szCs w:val="18"/>
      <w:lang w:eastAsia="ar-SA"/>
    </w:rPr>
  </w:style>
  <w:style w:type="character" w:customStyle="1" w:styleId="14">
    <w:name w:val="页脚 Char"/>
    <w:basedOn w:val="6"/>
    <w:link w:val="2"/>
    <w:uiPriority w:val="99"/>
    <w:rPr>
      <w:rFonts w:cs="Calibri"/>
      <w:kern w:val="1"/>
      <w:sz w:val="18"/>
      <w:szCs w:val="18"/>
      <w:lang w:eastAsia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168</Words>
  <Characters>963</Characters>
  <Lines>8</Lines>
  <Paragraphs>2</Paragraphs>
  <TotalTime>29</TotalTime>
  <ScaleCrop>false</ScaleCrop>
  <LinksUpToDate>false</LinksUpToDate>
  <CharactersWithSpaces>1129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2018-06-03T15:34:00Z</dcterms:created>
  <dc:creator>梧桐树</dc:creator>
  <cp:lastModifiedBy>开疆拓土</cp:lastModifiedBy>
  <dcterms:modified xsi:type="dcterms:W3CDTF">2019-02-21T07:45:54Z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