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Ansi="黑体"/>
          <w:sz w:val="32"/>
          <w:szCs w:val="32"/>
        </w:rPr>
      </w:pPr>
      <w:r>
        <w:rPr>
          <w:rFonts w:hint="eastAsia"/>
          <w:sz w:val="32"/>
          <w:szCs w:val="32"/>
        </w:rPr>
        <w:t>附件2</w:t>
      </w:r>
      <w:r>
        <w:rPr>
          <w:rFonts w:hint="eastAsia"/>
          <w:sz w:val="32"/>
          <w:szCs w:val="32"/>
          <w:lang w:val="en-US" w:eastAsia="zh-CN"/>
        </w:rPr>
        <w:t>0</w:t>
      </w:r>
      <w:r>
        <w:rPr>
          <w:rFonts w:hint="eastAsia"/>
          <w:sz w:val="32"/>
          <w:szCs w:val="32"/>
        </w:rPr>
        <w:t>：</w:t>
      </w:r>
      <w:r>
        <w:rPr>
          <w:rFonts w:hint="eastAsia" w:hAnsi="黑体"/>
          <w:sz w:val="32"/>
          <w:szCs w:val="32"/>
        </w:rPr>
        <w:t>婴幼儿配方乳粉生产企业现场评</w:t>
      </w:r>
      <w:bookmarkStart w:id="0" w:name="_GoBack"/>
      <w:bookmarkEnd w:id="0"/>
      <w:r>
        <w:rPr>
          <w:rFonts w:hint="eastAsia" w:hAnsi="黑体"/>
          <w:sz w:val="32"/>
          <w:szCs w:val="32"/>
        </w:rPr>
        <w:t xml:space="preserve">价标准                                    </w:t>
      </w:r>
    </w:p>
    <w:p>
      <w:pPr>
        <w:adjustRightInd w:val="0"/>
        <w:snapToGrid w:val="0"/>
        <w:ind w:firstLine="320" w:firstLineChars="100"/>
        <w:rPr>
          <w:rFonts w:ascii="黑体" w:hAnsi="黑体" w:eastAsia="黑体"/>
          <w:color w:val="auto"/>
          <w:sz w:val="32"/>
          <w:szCs w:val="32"/>
        </w:rPr>
      </w:pPr>
      <w:r>
        <w:rPr>
          <w:rFonts w:hint="eastAsia" w:ascii="黑体" w:hAnsi="黑体" w:eastAsia="黑体"/>
          <w:sz w:val="32"/>
          <w:szCs w:val="32"/>
        </w:rPr>
        <w:t>名称：</w:t>
      </w:r>
      <w:r>
        <w:rPr>
          <w:rFonts w:hint="eastAsia" w:ascii="黑体" w:hAnsi="黑体" w:eastAsia="黑体"/>
          <w:sz w:val="32"/>
          <w:szCs w:val="32"/>
          <w:u w:val="single"/>
        </w:rPr>
        <w:t xml:space="preserve">                            </w:t>
      </w:r>
      <w:r>
        <w:rPr>
          <w:rFonts w:hint="eastAsia" w:ascii="黑体" w:hAnsi="黑体" w:eastAsia="黑体"/>
          <w:sz w:val="32"/>
          <w:szCs w:val="32"/>
        </w:rPr>
        <w:t xml:space="preserve">                      评估人员：</w:t>
      </w:r>
      <w:r>
        <w:rPr>
          <w:rFonts w:hint="eastAsia" w:ascii="黑体" w:hAnsi="黑体" w:eastAsia="黑体"/>
          <w:sz w:val="32"/>
          <w:szCs w:val="32"/>
          <w:u w:val="single"/>
        </w:rPr>
        <w:t xml:space="preserve">                 </w:t>
      </w:r>
    </w:p>
    <w:tbl>
      <w:tblPr>
        <w:tblStyle w:val="6"/>
        <w:tblW w:w="14124" w:type="dxa"/>
        <w:jc w:val="center"/>
        <w:tblInd w:w="-1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00"/>
        <w:gridCol w:w="790"/>
        <w:gridCol w:w="7660"/>
        <w:gridCol w:w="1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Align w:val="center"/>
          </w:tcPr>
          <w:p>
            <w:pPr>
              <w:widowControl/>
              <w:adjustRightInd w:val="0"/>
              <w:snapToGrid w:val="0"/>
              <w:jc w:val="center"/>
              <w:rPr>
                <w:rFonts w:ascii="仿宋_GB2312" w:eastAsia="仿宋_GB2312"/>
                <w:b/>
                <w:sz w:val="28"/>
              </w:rPr>
            </w:pPr>
            <w:r>
              <w:rPr>
                <w:rFonts w:hint="eastAsia" w:hAnsi="仿宋" w:cs="宋体"/>
                <w:b/>
                <w:bCs/>
              </w:rPr>
              <w:t>评价指标</w:t>
            </w:r>
          </w:p>
        </w:tc>
        <w:tc>
          <w:tcPr>
            <w:tcW w:w="2100" w:type="dxa"/>
            <w:vAlign w:val="center"/>
          </w:tcPr>
          <w:p>
            <w:pPr>
              <w:widowControl/>
              <w:adjustRightInd w:val="0"/>
              <w:snapToGrid w:val="0"/>
              <w:jc w:val="center"/>
              <w:rPr>
                <w:rFonts w:ascii="仿宋_GB2312" w:eastAsia="仿宋_GB2312"/>
                <w:b/>
                <w:sz w:val="28"/>
              </w:rPr>
            </w:pPr>
            <w:r>
              <w:rPr>
                <w:rFonts w:hint="eastAsia" w:hAnsi="仿宋" w:cs="宋体"/>
                <w:b/>
                <w:bCs/>
              </w:rPr>
              <w:t>评价要点</w:t>
            </w:r>
          </w:p>
        </w:tc>
        <w:tc>
          <w:tcPr>
            <w:tcW w:w="790" w:type="dxa"/>
            <w:vAlign w:val="center"/>
          </w:tcPr>
          <w:p>
            <w:pPr>
              <w:widowControl/>
              <w:adjustRightInd w:val="0"/>
              <w:snapToGrid w:val="0"/>
              <w:jc w:val="center"/>
              <w:rPr>
                <w:rFonts w:ascii="仿宋_GB2312" w:eastAsia="仿宋_GB2312"/>
                <w:b/>
                <w:sz w:val="28"/>
              </w:rPr>
            </w:pPr>
            <w:r>
              <w:rPr>
                <w:rFonts w:hint="eastAsia" w:hAnsi="仿宋" w:cs="宋体"/>
                <w:b/>
                <w:bCs/>
              </w:rPr>
              <w:t>序号</w:t>
            </w:r>
          </w:p>
        </w:tc>
        <w:tc>
          <w:tcPr>
            <w:tcW w:w="7660" w:type="dxa"/>
            <w:vAlign w:val="center"/>
          </w:tcPr>
          <w:p>
            <w:pPr>
              <w:widowControl/>
              <w:adjustRightInd w:val="0"/>
              <w:snapToGrid w:val="0"/>
              <w:jc w:val="center"/>
              <w:rPr>
                <w:rFonts w:ascii="仿宋_GB2312" w:eastAsia="仿宋_GB2312"/>
                <w:b/>
                <w:sz w:val="28"/>
              </w:rPr>
            </w:pPr>
            <w:r>
              <w:rPr>
                <w:rFonts w:hint="eastAsia" w:hAnsi="仿宋" w:cs="宋体"/>
                <w:b/>
                <w:bCs/>
              </w:rPr>
              <w:t>评价内容</w:t>
            </w:r>
          </w:p>
        </w:tc>
        <w:tc>
          <w:tcPr>
            <w:tcW w:w="1442" w:type="dxa"/>
            <w:vAlign w:val="center"/>
          </w:tcPr>
          <w:p>
            <w:pPr>
              <w:widowControl/>
              <w:adjustRightInd w:val="0"/>
              <w:snapToGrid w:val="0"/>
              <w:jc w:val="center"/>
              <w:rPr>
                <w:rFonts w:ascii="仿宋_GB2312" w:eastAsia="仿宋_GB2312"/>
                <w:b/>
                <w:sz w:val="28"/>
              </w:rPr>
            </w:pPr>
            <w:r>
              <w:rPr>
                <w:rFonts w:hint="eastAsia" w:hAnsi="仿宋" w:cs="宋体"/>
                <w:b/>
                <w:bCs/>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restart"/>
            <w:vAlign w:val="center"/>
          </w:tcPr>
          <w:p>
            <w:pPr>
              <w:pStyle w:val="8"/>
              <w:jc w:val="center"/>
              <w:rPr>
                <w:rFonts w:ascii="仿宋" w:hAnsi="仿宋" w:eastAsia="仿宋"/>
              </w:rPr>
            </w:pPr>
            <w:r>
              <w:rPr>
                <w:rFonts w:hint="eastAsia" w:ascii="仿宋_GB2312" w:hAnsi="宋体" w:eastAsia="仿宋_GB2312"/>
              </w:rPr>
              <w:t>（一</w:t>
            </w:r>
            <w:r>
              <w:rPr>
                <w:rFonts w:hint="eastAsia" w:ascii="宋体" w:hAnsi="宋体" w:eastAsia="仿宋" w:cs="宋体"/>
              </w:rPr>
              <w:t>）食品安全标准和良好行为规范落实</w:t>
            </w:r>
          </w:p>
        </w:tc>
        <w:tc>
          <w:tcPr>
            <w:tcW w:w="2100" w:type="dxa"/>
            <w:vMerge w:val="restart"/>
            <w:vAlign w:val="center"/>
          </w:tcPr>
          <w:p>
            <w:pPr>
              <w:pStyle w:val="8"/>
              <w:rPr>
                <w:rFonts w:ascii="仿宋" w:hAnsi="仿宋" w:eastAsia="仿宋"/>
              </w:rPr>
            </w:pPr>
            <w:r>
              <w:rPr>
                <w:rFonts w:ascii="仿宋" w:hAnsi="仿宋" w:eastAsia="仿宋"/>
              </w:rPr>
              <w:t>一、生产环境条件</w:t>
            </w:r>
          </w:p>
        </w:tc>
        <w:tc>
          <w:tcPr>
            <w:tcW w:w="790" w:type="dxa"/>
            <w:vAlign w:val="center"/>
          </w:tcPr>
          <w:p>
            <w:pPr>
              <w:widowControl/>
              <w:adjustRightInd w:val="0"/>
              <w:snapToGrid w:val="0"/>
              <w:spacing w:line="320" w:lineRule="exact"/>
              <w:jc w:val="center"/>
              <w:rPr>
                <w:rFonts w:hAnsi="仿宋"/>
              </w:rPr>
            </w:pPr>
            <w:r>
              <w:rPr>
                <w:rFonts w:hAnsi="仿宋"/>
              </w:rPr>
              <w:t>1.1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厂区无扬尘、无积水，厂区、车间卫生整洁。</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仿宋" w:hAnsi="仿宋" w:eastAsia="仿宋"/>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rPr>
            </w:pPr>
            <w:r>
              <w:rPr>
                <w:rFonts w:hAnsi="仿宋"/>
              </w:rPr>
              <w:t>1.2</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厂区、车间与有毒、有害场所及其他污染源保持规定的距离，未对生产造成污染。用水符合国家规定的生活饮用水卫生标准。</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仿宋" w:hAnsi="仿宋" w:eastAsia="仿宋"/>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rPr>
            </w:pPr>
            <w:r>
              <w:rPr>
                <w:rFonts w:hAnsi="仿宋"/>
              </w:rPr>
              <w:t>1.3</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卫生间应保持清洁，应设置洗手设施，未与食品生产、包装或贮存等区域直接连通。</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仿宋" w:hAnsi="仿宋" w:eastAsia="仿宋"/>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rPr>
            </w:pPr>
            <w:r>
              <w:rPr>
                <w:rFonts w:hAnsi="仿宋"/>
              </w:rPr>
              <w:t>1.4</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有更衣、洗手、干手、消毒设备、设施，满足正常使用。</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仿宋" w:hAnsi="仿宋" w:eastAsia="仿宋"/>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rPr>
            </w:pPr>
            <w:r>
              <w:rPr>
                <w:rFonts w:hAnsi="仿宋"/>
              </w:rPr>
              <w:t>1.5</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通风、防尘、照明、存放垃圾和废弃物等设备、设施正常运行。</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仿宋" w:hAnsi="仿宋" w:eastAsia="仿宋"/>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rPr>
            </w:pPr>
            <w:r>
              <w:rPr>
                <w:rFonts w:hAnsi="仿宋"/>
              </w:rPr>
              <w:t>1.6</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车间内使用的洗涤剂、消毒剂等化学品应与原料、半成品、成品、包装材料等分隔放置，并有相应的使用记录。</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32" w:type="dxa"/>
            <w:vMerge w:val="continue"/>
            <w:vAlign w:val="center"/>
          </w:tcPr>
          <w:p>
            <w:pPr>
              <w:pStyle w:val="8"/>
              <w:jc w:val="center"/>
              <w:rPr>
                <w:rFonts w:ascii="仿宋" w:hAnsi="仿宋" w:eastAsia="仿宋"/>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rPr>
            </w:pPr>
            <w:r>
              <w:rPr>
                <w:rFonts w:hAnsi="仿宋"/>
              </w:rPr>
              <w:t>1.7</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定期检查防鼠、防蝇、防虫害装置的使用情况并有相应检查记录，生产场所无虫害迹象。</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restart"/>
            <w:vAlign w:val="center"/>
          </w:tcPr>
          <w:p>
            <w:pPr>
              <w:pStyle w:val="8"/>
              <w:jc w:val="center"/>
              <w:rPr>
                <w:rFonts w:ascii="宋体" w:hAnsi="宋体" w:eastAsia="仿宋" w:cs="宋体"/>
              </w:rPr>
            </w:pPr>
            <w:r>
              <w:rPr>
                <w:rFonts w:hint="eastAsia" w:ascii="宋体" w:hAnsi="宋体" w:eastAsia="仿宋" w:cs="宋体"/>
              </w:rPr>
              <w:t>（二）企业质量安全责任</w:t>
            </w:r>
          </w:p>
        </w:tc>
        <w:tc>
          <w:tcPr>
            <w:tcW w:w="2100" w:type="dxa"/>
            <w:vMerge w:val="restart"/>
            <w:vAlign w:val="center"/>
          </w:tcPr>
          <w:p>
            <w:pPr>
              <w:pStyle w:val="8"/>
              <w:rPr>
                <w:rFonts w:ascii="仿宋" w:hAnsi="仿宋" w:eastAsia="仿宋"/>
              </w:rPr>
            </w:pPr>
            <w:r>
              <w:rPr>
                <w:rFonts w:ascii="仿宋" w:hAnsi="仿宋" w:eastAsia="仿宋"/>
              </w:rPr>
              <w:t>二、</w:t>
            </w:r>
            <w:r>
              <w:rPr>
                <w:rFonts w:hint="eastAsia" w:ascii="仿宋" w:hAnsi="仿宋" w:eastAsia="仿宋"/>
              </w:rPr>
              <w:t>资质一致性</w:t>
            </w:r>
          </w:p>
        </w:tc>
        <w:tc>
          <w:tcPr>
            <w:tcW w:w="790" w:type="dxa"/>
            <w:vAlign w:val="center"/>
          </w:tcPr>
          <w:p>
            <w:pPr>
              <w:widowControl/>
              <w:adjustRightInd w:val="0"/>
              <w:snapToGrid w:val="0"/>
              <w:spacing w:line="320" w:lineRule="exact"/>
              <w:jc w:val="center"/>
              <w:rPr>
                <w:rFonts w:hAnsi="仿宋"/>
              </w:rPr>
            </w:pPr>
            <w:r>
              <w:rPr>
                <w:rFonts w:hAnsi="仿宋"/>
              </w:rPr>
              <w:t>2.1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保证婴幼儿配方乳粉企业营业执照、生产许可证有效，证照一致;保证企业实际生产婴幼儿配方乳粉的场所、生产婴幼儿配方乳粉的品种等与许可证书内容一致。</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仿宋" w:hAnsi="仿宋" w:eastAsia="仿宋"/>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rPr>
            </w:pPr>
            <w:r>
              <w:rPr>
                <w:rFonts w:hAnsi="仿宋"/>
              </w:rPr>
              <w:t>2.2</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在生产许可证有效期内，企业生产条件、检验设备、生产技术或者工艺发生变化的，应当按规定向当地食品药品监督管理部门报告。</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Align w:val="center"/>
          </w:tcPr>
          <w:p>
            <w:pPr>
              <w:pStyle w:val="8"/>
              <w:rPr>
                <w:rFonts w:ascii="仿宋" w:hAnsi="仿宋" w:eastAsia="仿宋"/>
              </w:rPr>
            </w:pPr>
            <w:r>
              <w:rPr>
                <w:rFonts w:hint="eastAsia" w:ascii="仿宋" w:hAnsi="仿宋" w:eastAsia="仿宋"/>
              </w:rPr>
              <w:t>三、质量安全管理制度</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3.1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建立企业内部质量安全管理制度，设立质量安全管理机构和配备专职质量安全管理人员，明确岗位质量安全规范、质量安全责任。企业法定代表人是婴幼儿配方乳粉质量安全的责任人。企业法定代表人负责或者授权企业质量安全管理人员全权负责婴幼儿配方乳粉质量安全，并以书面文件形式授权其对婴幼儿配方乳粉质量安全负责。质量安全管理人员应当符合规定的条件要求，并按规定实行上岗培训和定期培训。</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hAnsi="仿宋" w:cs="仿宋"/>
              </w:rPr>
            </w:pPr>
          </w:p>
        </w:tc>
        <w:tc>
          <w:tcPr>
            <w:tcW w:w="2100" w:type="dxa"/>
            <w:vAlign w:val="center"/>
          </w:tcPr>
          <w:p>
            <w:pPr>
              <w:pStyle w:val="8"/>
              <w:rPr>
                <w:rFonts w:ascii="仿宋" w:hAnsi="仿宋" w:eastAsia="仿宋"/>
              </w:rPr>
            </w:pPr>
            <w:r>
              <w:rPr>
                <w:rFonts w:hint="eastAsia" w:ascii="仿宋" w:hAnsi="仿宋" w:eastAsia="仿宋"/>
              </w:rPr>
              <w:t>四、研发机构</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4.1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具备专业研发机构、研发技术装备和研发人员，能够自主研发婴幼儿配方乳粉，能够跟踪评价婴幼儿配方乳粉的营养和安全，研究生产过程中存在的风险因素，提出防范措施，有效控制产品易出现的质量安全问题。</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restart"/>
            <w:vAlign w:val="center"/>
          </w:tcPr>
          <w:p>
            <w:pPr>
              <w:pStyle w:val="8"/>
              <w:rPr>
                <w:rFonts w:ascii="仿宋" w:hAnsi="仿宋" w:eastAsia="仿宋"/>
              </w:rPr>
            </w:pPr>
            <w:r>
              <w:rPr>
                <w:rFonts w:hint="eastAsia" w:ascii="仿宋" w:hAnsi="仿宋" w:eastAsia="仿宋"/>
              </w:rPr>
              <w:t>五、</w:t>
            </w:r>
            <w:r>
              <w:rPr>
                <w:rFonts w:ascii="仿宋" w:hAnsi="仿宋" w:eastAsia="仿宋"/>
              </w:rPr>
              <w:t>具备自建自控奶源，建立并落实原辅料采购查验制度</w:t>
            </w:r>
          </w:p>
        </w:tc>
        <w:tc>
          <w:tcPr>
            <w:tcW w:w="790" w:type="dxa"/>
            <w:vAlign w:val="center"/>
          </w:tcPr>
          <w:p>
            <w:pPr>
              <w:widowControl/>
              <w:adjustRightInd w:val="0"/>
              <w:snapToGrid w:val="0"/>
              <w:spacing w:line="320" w:lineRule="exact"/>
              <w:jc w:val="center"/>
              <w:rPr>
                <w:rFonts w:ascii="宋体" w:hAnsi="宋体" w:cs="宋体"/>
              </w:rPr>
            </w:pPr>
            <w:r>
              <w:rPr>
                <w:rFonts w:hint="eastAsia" w:hAnsi="仿宋" w:cs="仿宋"/>
              </w:rPr>
              <w:t>5.1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以生牛乳为原料的企业，应当具有自建自控奶源基地，并逐步做到生鲜乳全部来自企业全资或控股建设的养殖场且质量合格;生鲜乳生产、收购、贮存、运输、销售过程中禁止添加任何物质;建立生鲜乳进货查验制度，记录自建自控牧场生鲜乳的逐批检测情况;对不合格生鲜乳应主动报告主管部门采取销毁或者采取无害化处理措施;防止不合格生鲜乳流入市场。</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5.2</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以原料乳粉为原料的企业，应当确保原料质量可控;应当严格执行原料乳粉、乳清粉批批检验，确保原料质量安全;生产0-6个月龄婴儿食用的婴儿配方乳粉应当使用灰分符合规定要求的乳清粉、乳清蛋白粉。建立食品安全管理制度，并严格执行。</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5.3</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建立原辅材料供销商审核制度和进货验证制度，应当记录供货方的资质及合格产品检验报告。</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5.4</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建立原辅材料进货台账，应当记录每批采购的原辅料供货者的名称、联系方式、进货名称、数量、日期等内容。</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5.5</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建立食品营养强化剂进货台账和使用记录，应当保证购进的食品营养强化剂与使用记录一致。</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5.6</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记录各种购进原辅料的贮存、保管、领用出库等情况。</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restart"/>
            <w:vAlign w:val="center"/>
          </w:tcPr>
          <w:p>
            <w:pPr>
              <w:pStyle w:val="8"/>
              <w:rPr>
                <w:rFonts w:ascii="仿宋" w:hAnsi="仿宋" w:eastAsia="仿宋"/>
              </w:rPr>
            </w:pPr>
            <w:r>
              <w:rPr>
                <w:rFonts w:hint="eastAsia" w:ascii="仿宋" w:hAnsi="仿宋" w:eastAsia="仿宋"/>
              </w:rPr>
              <w:t>六、</w:t>
            </w:r>
            <w:r>
              <w:rPr>
                <w:rFonts w:ascii="仿宋" w:hAnsi="仿宋" w:eastAsia="仿宋"/>
              </w:rPr>
              <w:t> 生产过程控制制度</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6.1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记录生产车间或场地清洁卫生情况。</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6.2</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按生产工艺的要求，防止人流、物流交叉污染，防止原料、半成品、成品交叉污染。</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6.3</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做好产品投料记录，包括名称、使用数量、投料人、投料批准人等。</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6.4</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做好生产设备、设施维护保养和清洗消毒记录。</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6.5</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做好其他关键质量控制点的质量控制记录，主要包括杀菌有效性、杂菌污染防止情况等。</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6.6</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生产车间、原料库、辅料库、成品库需要变化的，应当做好变化记录。</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6.7</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对车间、库房的湿度、温度、空气清洁度，应当做好监测记录。</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6.8</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产品入库单、出库单、库存情况记录，应当与进货、销售台账相符。</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6.9</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岗位操作人员卫生健康应当符合要求。</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restart"/>
            <w:vAlign w:val="center"/>
          </w:tcPr>
          <w:p>
            <w:pPr>
              <w:pStyle w:val="8"/>
              <w:rPr>
                <w:rFonts w:ascii="仿宋" w:hAnsi="仿宋" w:eastAsia="仿宋"/>
              </w:rPr>
            </w:pPr>
            <w:r>
              <w:rPr>
                <w:rFonts w:hint="eastAsia" w:ascii="仿宋" w:hAnsi="仿宋" w:eastAsia="仿宋"/>
              </w:rPr>
              <w:t>七、</w:t>
            </w:r>
            <w:r>
              <w:rPr>
                <w:rFonts w:ascii="仿宋" w:hAnsi="仿宋" w:eastAsia="仿宋"/>
              </w:rPr>
              <w:t>产品出厂批批检验制度</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7.1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有质量检验机构和专业检验人员，检验机构配备的设备能够满足法规和标准规定的检验项目需求，并定期与第三方检验机构进行检验能力比对;检验人员具备相应的资质条件要求，并经培训考核合格。</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7.2</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做好出厂产品的原始检验数据和检验报告记录，包括检验产品的名称、规格、数量、生产日期、生产批号、执行标准、检验结论、化验员、审核人、检验合格证号或检验报告编号、检验时间等内容。</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7.3</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企业的检验设备、计量器具应依法经检定合格或者校准，相关辅助设备及化学试剂应完好齐备，并在有效使用期内。</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7.4</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检验项目应与企业所执行的标准及标签明示的项目一致。</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7.5</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企业不得委托其他检验机构实施产品出厂检验。</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Align w:val="center"/>
          </w:tcPr>
          <w:p>
            <w:pPr>
              <w:pStyle w:val="8"/>
              <w:rPr>
                <w:rFonts w:ascii="仿宋" w:hAnsi="仿宋" w:eastAsia="仿宋"/>
              </w:rPr>
            </w:pPr>
            <w:r>
              <w:rPr>
                <w:rFonts w:hint="eastAsia" w:ascii="仿宋" w:hAnsi="仿宋" w:eastAsia="仿宋"/>
              </w:rPr>
              <w:t>八、</w:t>
            </w:r>
            <w:r>
              <w:rPr>
                <w:rFonts w:hint="eastAsia" w:ascii="宋体" w:hAnsi="宋体" w:eastAsia="仿宋" w:cs="宋体"/>
              </w:rPr>
              <w:t>产品标识</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8.1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婴幼儿配方乳粉的产品配方、原辅料使用、产品包装及标签应当符合国家食品药品监督管理总局有关备案的规定，其产品标识标注内容应当符合法律、法规、规章及食品安全标准规定要求。</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Align w:val="center"/>
          </w:tcPr>
          <w:p>
            <w:pPr>
              <w:pStyle w:val="8"/>
              <w:rPr>
                <w:rFonts w:ascii="仿宋" w:hAnsi="仿宋" w:eastAsia="仿宋"/>
              </w:rPr>
            </w:pPr>
            <w:r>
              <w:rPr>
                <w:rFonts w:hint="eastAsia" w:ascii="仿宋" w:hAnsi="仿宋" w:eastAsia="仿宋"/>
              </w:rPr>
              <w:t>九、总局要求</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9.1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遵守国家食品药品监督管理总局《关于禁止以委托、贴牌、分装等方式生产婴幼儿配方乳粉的公告》要求。</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restart"/>
            <w:vAlign w:val="center"/>
          </w:tcPr>
          <w:p>
            <w:pPr>
              <w:pStyle w:val="8"/>
              <w:rPr>
                <w:rFonts w:ascii="仿宋" w:hAnsi="仿宋" w:eastAsia="仿宋"/>
              </w:rPr>
            </w:pPr>
            <w:r>
              <w:rPr>
                <w:rFonts w:hint="eastAsia" w:ascii="仿宋" w:hAnsi="仿宋" w:eastAsia="仿宋"/>
              </w:rPr>
              <w:t>十、</w:t>
            </w:r>
            <w:r>
              <w:rPr>
                <w:rFonts w:ascii="仿宋" w:hAnsi="仿宋" w:eastAsia="仿宋"/>
              </w:rPr>
              <w:t>不合格品管理制度</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10.1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做好对采购的不合格食品原辅材料、食品添加剂、食品相关产品的处理记录;</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10.2</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做好不合格产品的处理记录。处理记录应当有批准人、监督人、经手人的签字，以及处理过程的文字、图片等证明资料。</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Align w:val="center"/>
          </w:tcPr>
          <w:p>
            <w:pPr>
              <w:pStyle w:val="8"/>
              <w:rPr>
                <w:rFonts w:ascii="仿宋" w:hAnsi="仿宋" w:eastAsia="仿宋"/>
              </w:rPr>
            </w:pPr>
            <w:r>
              <w:rPr>
                <w:rFonts w:hint="eastAsia" w:ascii="仿宋" w:hAnsi="仿宋" w:eastAsia="仿宋"/>
              </w:rPr>
              <w:t>十一</w:t>
            </w:r>
            <w:r>
              <w:rPr>
                <w:rFonts w:hint="eastAsia" w:ascii="宋体" w:hAnsi="宋体" w:eastAsia="仿宋" w:cs="宋体"/>
              </w:rPr>
              <w:t>、召回制度</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11.1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建立并落实不安全婴幼儿配方乳粉召回制度，记录对不安全婴幼儿配方乳粉自主召回、被责令召回的执行情况，包括:企业通知召回的情况;实际召回的情况;对召回产品采取补救、无害化处理或销毁的情况，整改措施的落实情况;向当地食品药品监督管理部门报告召回及处理情况。</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Align w:val="center"/>
          </w:tcPr>
          <w:p>
            <w:pPr>
              <w:pStyle w:val="8"/>
              <w:rPr>
                <w:rFonts w:ascii="仿宋" w:hAnsi="仿宋" w:eastAsia="仿宋"/>
              </w:rPr>
            </w:pPr>
            <w:r>
              <w:rPr>
                <w:rFonts w:hint="eastAsia" w:ascii="仿宋" w:hAnsi="仿宋" w:eastAsia="仿宋"/>
              </w:rPr>
              <w:t>十二、</w:t>
            </w:r>
            <w:r>
              <w:rPr>
                <w:rFonts w:hint="eastAsia" w:ascii="宋体" w:hAnsi="宋体" w:eastAsia="仿宋" w:cs="宋体"/>
              </w:rPr>
              <w:t>消费者投诉处理制度</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12.1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建立消费者投诉处理制度，认真落实婴幼儿配方乳粉先行赔偿责任，做好消费者投诉的处理记录，包括投诉者姓名、联系方式、投诉的食品名称、数量、生产日期或生产批号、投诉的质量安全问题、企业采取的处理措施、处理结果等。</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Align w:val="center"/>
          </w:tcPr>
          <w:p>
            <w:pPr>
              <w:pStyle w:val="8"/>
              <w:rPr>
                <w:rFonts w:ascii="仿宋" w:hAnsi="仿宋" w:eastAsia="仿宋"/>
              </w:rPr>
            </w:pPr>
            <w:r>
              <w:rPr>
                <w:rFonts w:hint="eastAsia" w:ascii="仿宋" w:hAnsi="仿宋" w:eastAsia="仿宋"/>
              </w:rPr>
              <w:t>十三、</w:t>
            </w:r>
            <w:r>
              <w:rPr>
                <w:rFonts w:hint="eastAsia" w:ascii="宋体" w:hAnsi="宋体" w:eastAsia="仿宋" w:cs="宋体"/>
              </w:rPr>
              <w:t>食品安全事故处置方案</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13.1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制定食品安全事故处置方案，定期检查各项食品安全防范措施的落实情况。发生食品安全事故的，企业应当妥善处置食品安全事故，建立并保存处置食品安全事故的记录。</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Align w:val="center"/>
          </w:tcPr>
          <w:p>
            <w:pPr>
              <w:pStyle w:val="8"/>
              <w:rPr>
                <w:rFonts w:ascii="仿宋" w:hAnsi="仿宋" w:eastAsia="仿宋"/>
              </w:rPr>
            </w:pPr>
            <w:r>
              <w:rPr>
                <w:rFonts w:hint="eastAsia" w:ascii="仿宋" w:hAnsi="仿宋" w:eastAsia="仿宋"/>
              </w:rPr>
              <w:t>十四、</w:t>
            </w:r>
            <w:r>
              <w:rPr>
                <w:rFonts w:hint="eastAsia" w:ascii="宋体" w:hAnsi="宋体" w:eastAsia="仿宋" w:cs="宋体"/>
              </w:rPr>
              <w:t>产品可追溯制度</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14.1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建立完善产品可追溯制度和电子信息记录系统，实现产品全程可查询、可追溯，应当妥善保管所有与婴幼儿配方乳粉相关的原辅料采购、生产、检验、销售等可追溯性原始记录，至少保存2年。</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Align w:val="center"/>
          </w:tcPr>
          <w:p>
            <w:pPr>
              <w:pStyle w:val="8"/>
              <w:rPr>
                <w:rFonts w:ascii="仿宋" w:hAnsi="仿宋" w:eastAsia="仿宋"/>
              </w:rPr>
            </w:pPr>
            <w:r>
              <w:rPr>
                <w:rFonts w:hint="eastAsia" w:ascii="仿宋" w:hAnsi="仿宋" w:eastAsia="仿宋"/>
              </w:rPr>
              <w:t>十五、</w:t>
            </w:r>
            <w:r>
              <w:rPr>
                <w:rFonts w:hint="eastAsia" w:ascii="宋体" w:hAnsi="宋体" w:eastAsia="仿宋" w:cs="宋体"/>
              </w:rPr>
              <w:t>风险监测和监督抽检</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15.1</w:t>
            </w:r>
          </w:p>
        </w:tc>
        <w:tc>
          <w:tcPr>
            <w:tcW w:w="7660" w:type="dxa"/>
            <w:vAlign w:val="center"/>
          </w:tcPr>
          <w:p>
            <w:pPr>
              <w:widowControl/>
              <w:adjustRightInd w:val="0"/>
              <w:snapToGrid w:val="0"/>
              <w:spacing w:line="320" w:lineRule="exact"/>
              <w:rPr>
                <w:rFonts w:ascii="宋体" w:hAnsi="宋体" w:cs="宋体"/>
              </w:rPr>
            </w:pPr>
            <w:r>
              <w:rPr>
                <w:rFonts w:hint="eastAsia" w:ascii="宋体" w:hAnsi="宋体" w:cs="宋体"/>
              </w:rPr>
              <w:t>主动收集企业内部发现的和国家发布的与企业相关的婴幼儿配方乳粉风险监测和监督抽检信息，并作出反应，同时应建立和保存相关记录。</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restart"/>
            <w:vAlign w:val="center"/>
          </w:tcPr>
          <w:p>
            <w:pPr>
              <w:pStyle w:val="8"/>
              <w:jc w:val="center"/>
              <w:rPr>
                <w:rFonts w:ascii="宋体" w:hAnsi="宋体" w:eastAsia="仿宋" w:cs="宋体"/>
              </w:rPr>
            </w:pPr>
            <w:r>
              <w:rPr>
                <w:rFonts w:hint="eastAsia" w:ascii="仿宋_GB2312" w:hAnsi="宋体" w:eastAsia="仿宋_GB2312"/>
              </w:rPr>
              <w:t>（三）</w:t>
            </w:r>
            <w:r>
              <w:rPr>
                <w:rFonts w:hint="eastAsia" w:ascii="宋体" w:hAnsi="宋体" w:eastAsia="仿宋" w:cs="宋体"/>
              </w:rPr>
              <w:t>日常检查</w:t>
            </w:r>
          </w:p>
        </w:tc>
        <w:tc>
          <w:tcPr>
            <w:tcW w:w="2100" w:type="dxa"/>
            <w:vMerge w:val="restart"/>
            <w:vAlign w:val="center"/>
          </w:tcPr>
          <w:p>
            <w:pPr>
              <w:pStyle w:val="8"/>
              <w:rPr>
                <w:rFonts w:ascii="仿宋" w:hAnsi="仿宋" w:eastAsia="仿宋"/>
              </w:rPr>
            </w:pPr>
            <w:r>
              <w:rPr>
                <w:rFonts w:hint="eastAsia" w:ascii="仿宋" w:hAnsi="仿宋" w:eastAsia="仿宋"/>
              </w:rPr>
              <w:t>十六、从业人员管理</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16.1</w:t>
            </w:r>
          </w:p>
        </w:tc>
        <w:tc>
          <w:tcPr>
            <w:tcW w:w="7660" w:type="dxa"/>
            <w:vAlign w:val="center"/>
          </w:tcPr>
          <w:p>
            <w:pPr>
              <w:widowControl/>
              <w:adjustRightInd w:val="0"/>
              <w:snapToGrid w:val="0"/>
              <w:rPr>
                <w:rFonts w:ascii="宋体" w:hAnsi="宋体" w:cs="宋体"/>
              </w:rPr>
            </w:pPr>
            <w:r>
              <w:rPr>
                <w:rFonts w:hint="eastAsia" w:ascii="宋体" w:hAnsi="宋体" w:cs="宋体"/>
              </w:rPr>
              <w:t>设有食品安全管理人员、检验人员、负责人；规模以上食品生产经营单位需设置食品安全管理机构，明确分管负责人。</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16.2</w:t>
            </w:r>
          </w:p>
        </w:tc>
        <w:tc>
          <w:tcPr>
            <w:tcW w:w="7660" w:type="dxa"/>
            <w:vAlign w:val="center"/>
          </w:tcPr>
          <w:p>
            <w:pPr>
              <w:widowControl/>
              <w:adjustRightInd w:val="0"/>
              <w:snapToGrid w:val="0"/>
              <w:rPr>
                <w:rFonts w:ascii="宋体" w:hAnsi="宋体" w:cs="宋体"/>
              </w:rPr>
            </w:pPr>
            <w:r>
              <w:rPr>
                <w:rFonts w:hint="eastAsia" w:ascii="宋体" w:hAnsi="宋体" w:cs="宋体"/>
              </w:rPr>
              <w:t>建立从业人员健康管理制度，直接接触食品人员有健康证明，健康证明在有效期内。</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Merge w:val="continue"/>
            <w:vAlign w:val="center"/>
          </w:tcPr>
          <w:p>
            <w:pPr>
              <w:pStyle w:val="8"/>
              <w:rPr>
                <w:rFonts w:ascii="仿宋" w:hAnsi="仿宋" w:eastAsia="仿宋"/>
              </w:rPr>
            </w:pP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16.3</w:t>
            </w:r>
          </w:p>
        </w:tc>
        <w:tc>
          <w:tcPr>
            <w:tcW w:w="7660" w:type="dxa"/>
            <w:vAlign w:val="center"/>
          </w:tcPr>
          <w:p>
            <w:pPr>
              <w:widowControl/>
              <w:adjustRightInd w:val="0"/>
              <w:snapToGrid w:val="0"/>
              <w:rPr>
                <w:rFonts w:ascii="宋体" w:hAnsi="宋体" w:cs="宋体"/>
              </w:rPr>
            </w:pPr>
            <w:r>
              <w:rPr>
                <w:rFonts w:hint="eastAsia" w:ascii="宋体" w:hAnsi="宋体" w:cs="宋体"/>
              </w:rPr>
              <w:t>有从业人员食品安全知识培训制度，并有相关培训记录；规模以上企业单位负责人、食品安全管理人员、主要从业人员每人每年接受食品安全法律法规、科学知识和行业道德伦理的集中培训不少于40小时。</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132" w:type="dxa"/>
            <w:vMerge w:val="continue"/>
            <w:vAlign w:val="center"/>
          </w:tcPr>
          <w:p>
            <w:pPr>
              <w:pStyle w:val="8"/>
              <w:jc w:val="center"/>
              <w:rPr>
                <w:rFonts w:ascii="宋体" w:hAnsi="宋体" w:eastAsia="仿宋" w:cs="宋体"/>
              </w:rPr>
            </w:pPr>
          </w:p>
        </w:tc>
        <w:tc>
          <w:tcPr>
            <w:tcW w:w="2100" w:type="dxa"/>
            <w:vAlign w:val="center"/>
          </w:tcPr>
          <w:p>
            <w:pPr>
              <w:pStyle w:val="8"/>
              <w:rPr>
                <w:rFonts w:ascii="仿宋" w:hAnsi="仿宋" w:eastAsia="仿宋"/>
              </w:rPr>
            </w:pPr>
            <w:r>
              <w:rPr>
                <w:rFonts w:hint="eastAsia" w:ascii="仿宋" w:hAnsi="仿宋" w:eastAsia="仿宋"/>
              </w:rPr>
              <w:t>十七、监督检查</w:t>
            </w:r>
          </w:p>
        </w:tc>
        <w:tc>
          <w:tcPr>
            <w:tcW w:w="790" w:type="dxa"/>
            <w:vAlign w:val="center"/>
          </w:tcPr>
          <w:p>
            <w:pPr>
              <w:widowControl/>
              <w:adjustRightInd w:val="0"/>
              <w:snapToGrid w:val="0"/>
              <w:spacing w:line="320" w:lineRule="exact"/>
              <w:jc w:val="center"/>
              <w:rPr>
                <w:rFonts w:hAnsi="仿宋" w:cs="仿宋"/>
              </w:rPr>
            </w:pPr>
            <w:r>
              <w:rPr>
                <w:rFonts w:hint="eastAsia" w:hAnsi="仿宋" w:cs="仿宋"/>
              </w:rPr>
              <w:t>17.1</w:t>
            </w:r>
          </w:p>
        </w:tc>
        <w:tc>
          <w:tcPr>
            <w:tcW w:w="7660" w:type="dxa"/>
            <w:vAlign w:val="center"/>
          </w:tcPr>
          <w:p>
            <w:pPr>
              <w:widowControl/>
              <w:adjustRightInd w:val="0"/>
              <w:snapToGrid w:val="0"/>
              <w:rPr>
                <w:rFonts w:ascii="宋体" w:hAnsi="宋体" w:cs="宋体"/>
              </w:rPr>
            </w:pPr>
            <w:r>
              <w:rPr>
                <w:rFonts w:hint="eastAsia" w:ascii="宋体" w:hAnsi="宋体" w:cs="宋体"/>
              </w:rPr>
              <w:t>留存监管部门日常监督检查记录。</w:t>
            </w:r>
          </w:p>
        </w:tc>
        <w:tc>
          <w:tcPr>
            <w:tcW w:w="1442" w:type="dxa"/>
            <w:vAlign w:val="center"/>
          </w:tcPr>
          <w:p>
            <w:pPr>
              <w:widowControl/>
              <w:adjustRightInd w:val="0"/>
              <w:snapToGrid w:val="0"/>
              <w:spacing w:line="480" w:lineRule="exact"/>
              <w:jc w:val="center"/>
              <w:rPr>
                <w:rFonts w:hAnsi="仿宋" w:cs="宋体"/>
              </w:rPr>
            </w:pPr>
            <w:r>
              <w:rPr>
                <w:rFonts w:hint="eastAsia" w:hAnsi="仿宋" w:cs="宋体"/>
              </w:rPr>
              <w:t>□是□否</w:t>
            </w:r>
          </w:p>
        </w:tc>
      </w:tr>
    </w:tbl>
    <w:p>
      <w:pPr>
        <w:pStyle w:val="8"/>
        <w:rPr>
          <w:rFonts w:ascii="宋体" w:hAnsi="宋体" w:eastAsia="仿宋" w:cs="宋体"/>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9512282"/>
    </w:sdtPr>
    <w:sdtContent>
      <w:p>
        <w:pPr>
          <w:pStyle w:val="3"/>
          <w:jc w:val="center"/>
        </w:pPr>
        <w:r>
          <w:fldChar w:fldCharType="begin"/>
        </w:r>
        <w:r>
          <w:instrText xml:space="preserve"> PAGE   \* MERGEFORMAT </w:instrText>
        </w:r>
        <w:r>
          <w:fldChar w:fldCharType="separate"/>
        </w:r>
        <w:r>
          <w:rPr>
            <w:lang w:val="zh-CN"/>
          </w:rPr>
          <w:t>4</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B2457"/>
    <w:rsid w:val="00006232"/>
    <w:rsid w:val="0004707B"/>
    <w:rsid w:val="00055229"/>
    <w:rsid w:val="000A074C"/>
    <w:rsid w:val="000D5DFF"/>
    <w:rsid w:val="000F2E3D"/>
    <w:rsid w:val="00130093"/>
    <w:rsid w:val="0017006B"/>
    <w:rsid w:val="00181759"/>
    <w:rsid w:val="001846F4"/>
    <w:rsid w:val="001B6173"/>
    <w:rsid w:val="001C69A3"/>
    <w:rsid w:val="001E0A8A"/>
    <w:rsid w:val="00206DB7"/>
    <w:rsid w:val="002307ED"/>
    <w:rsid w:val="002348C7"/>
    <w:rsid w:val="002504E6"/>
    <w:rsid w:val="0025530B"/>
    <w:rsid w:val="002834DD"/>
    <w:rsid w:val="0029327D"/>
    <w:rsid w:val="00297427"/>
    <w:rsid w:val="002D7A42"/>
    <w:rsid w:val="002F130F"/>
    <w:rsid w:val="00373871"/>
    <w:rsid w:val="003C2C8B"/>
    <w:rsid w:val="004052B2"/>
    <w:rsid w:val="00410969"/>
    <w:rsid w:val="00415950"/>
    <w:rsid w:val="00487360"/>
    <w:rsid w:val="004F2CC2"/>
    <w:rsid w:val="005012ED"/>
    <w:rsid w:val="00555C1C"/>
    <w:rsid w:val="005C28DE"/>
    <w:rsid w:val="005D712D"/>
    <w:rsid w:val="005F54E0"/>
    <w:rsid w:val="00616EFB"/>
    <w:rsid w:val="006836C9"/>
    <w:rsid w:val="00695C9F"/>
    <w:rsid w:val="006C08EF"/>
    <w:rsid w:val="006E0FEB"/>
    <w:rsid w:val="006E4E8D"/>
    <w:rsid w:val="00725502"/>
    <w:rsid w:val="00750E01"/>
    <w:rsid w:val="00760E04"/>
    <w:rsid w:val="007672C8"/>
    <w:rsid w:val="007B7EDA"/>
    <w:rsid w:val="007D6744"/>
    <w:rsid w:val="007E31E7"/>
    <w:rsid w:val="00814446"/>
    <w:rsid w:val="00832F31"/>
    <w:rsid w:val="00874503"/>
    <w:rsid w:val="008A2FFD"/>
    <w:rsid w:val="008A3979"/>
    <w:rsid w:val="008A3B1F"/>
    <w:rsid w:val="009521CB"/>
    <w:rsid w:val="00961FBC"/>
    <w:rsid w:val="009723FE"/>
    <w:rsid w:val="00981FAE"/>
    <w:rsid w:val="00A05C25"/>
    <w:rsid w:val="00A06D9F"/>
    <w:rsid w:val="00A27CB8"/>
    <w:rsid w:val="00A356F3"/>
    <w:rsid w:val="00A556DD"/>
    <w:rsid w:val="00A87E99"/>
    <w:rsid w:val="00B3719A"/>
    <w:rsid w:val="00B70F9C"/>
    <w:rsid w:val="00B969FE"/>
    <w:rsid w:val="00C024F8"/>
    <w:rsid w:val="00C13D26"/>
    <w:rsid w:val="00C34576"/>
    <w:rsid w:val="00C418AD"/>
    <w:rsid w:val="00C46890"/>
    <w:rsid w:val="00C50BEA"/>
    <w:rsid w:val="00C656E4"/>
    <w:rsid w:val="00C8377C"/>
    <w:rsid w:val="00C97B12"/>
    <w:rsid w:val="00CB2457"/>
    <w:rsid w:val="00CB493C"/>
    <w:rsid w:val="00CC3329"/>
    <w:rsid w:val="00CF15CF"/>
    <w:rsid w:val="00D45609"/>
    <w:rsid w:val="00D539B2"/>
    <w:rsid w:val="00D71A46"/>
    <w:rsid w:val="00DE1A5B"/>
    <w:rsid w:val="00DF7AC2"/>
    <w:rsid w:val="00E1140A"/>
    <w:rsid w:val="00E43761"/>
    <w:rsid w:val="00E5782E"/>
    <w:rsid w:val="00E67FFD"/>
    <w:rsid w:val="00EC4A38"/>
    <w:rsid w:val="00EF493A"/>
    <w:rsid w:val="00EF545B"/>
    <w:rsid w:val="00F33B15"/>
    <w:rsid w:val="00F43705"/>
    <w:rsid w:val="00F82217"/>
    <w:rsid w:val="00FB0F2F"/>
    <w:rsid w:val="00FD044D"/>
    <w:rsid w:val="01686500"/>
    <w:rsid w:val="034164F8"/>
    <w:rsid w:val="043B009C"/>
    <w:rsid w:val="07E10771"/>
    <w:rsid w:val="0B477E8C"/>
    <w:rsid w:val="12490575"/>
    <w:rsid w:val="14C607D5"/>
    <w:rsid w:val="16F212D6"/>
    <w:rsid w:val="17DB2333"/>
    <w:rsid w:val="187A5EDB"/>
    <w:rsid w:val="199C0088"/>
    <w:rsid w:val="1FAF3003"/>
    <w:rsid w:val="21042385"/>
    <w:rsid w:val="299B4C0F"/>
    <w:rsid w:val="2A285BA4"/>
    <w:rsid w:val="2AAC2808"/>
    <w:rsid w:val="2E4B2831"/>
    <w:rsid w:val="36EB3547"/>
    <w:rsid w:val="391355B9"/>
    <w:rsid w:val="3B1E47A1"/>
    <w:rsid w:val="3B331F6B"/>
    <w:rsid w:val="3C0001D6"/>
    <w:rsid w:val="3C650EA7"/>
    <w:rsid w:val="427B6E20"/>
    <w:rsid w:val="49B848DC"/>
    <w:rsid w:val="4FFE7424"/>
    <w:rsid w:val="515A2367"/>
    <w:rsid w:val="5B2B69EF"/>
    <w:rsid w:val="5BEA7D56"/>
    <w:rsid w:val="5C2B483F"/>
    <w:rsid w:val="5DB742BE"/>
    <w:rsid w:val="663E45B4"/>
    <w:rsid w:val="672D3989"/>
    <w:rsid w:val="67451FF9"/>
    <w:rsid w:val="67927819"/>
    <w:rsid w:val="6D696F1C"/>
    <w:rsid w:val="70F4461D"/>
    <w:rsid w:val="73D13E20"/>
    <w:rsid w:val="7422346A"/>
    <w:rsid w:val="75931A29"/>
    <w:rsid w:val="768F619A"/>
    <w:rsid w:val="79032232"/>
    <w:rsid w:val="79057FAD"/>
    <w:rsid w:val="7F395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eastAsia="仿宋" w:cs="黑体" w:hAnsiTheme="minorHAnsi"/>
      <w:color w:val="000000"/>
      <w:sz w:val="24"/>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uiPriority w:val="99"/>
    <w:rPr>
      <w:rFonts w:ascii="仿宋" w:eastAsia="仿宋" w:cs="黑体" w:hAnsiTheme="minorHAnsi"/>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DE1E2B-3F25-4611-A69E-E704935A5F3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509</Words>
  <Characters>2904</Characters>
  <Lines>24</Lines>
  <Paragraphs>6</Paragraphs>
  <TotalTime>9</TotalTime>
  <ScaleCrop>false</ScaleCrop>
  <LinksUpToDate>false</LinksUpToDate>
  <CharactersWithSpaces>3407</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2017-10-18T07:04:00Z</dcterms:created>
  <dc:creator>Microsoft</dc:creator>
  <cp:lastModifiedBy>开疆拓土</cp:lastModifiedBy>
  <dcterms:modified xsi:type="dcterms:W3CDTF">2019-02-21T07:42:35Z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