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afterLines="50" w:line="580" w:lineRule="exact"/>
        <w:rPr>
          <w:rFonts w:ascii="黑体" w:hAnsi="黑体" w:eastAsia="黑体" w:cs="黑体"/>
          <w:sz w:val="32"/>
          <w:szCs w:val="32"/>
          <w:u w:val="single"/>
          <w:lang w:eastAsia="zh-CN"/>
        </w:rPr>
      </w:pPr>
      <w:r>
        <w:rPr>
          <w:rFonts w:hint="eastAsia" w:ascii="宋体" w:hAnsi="宋体"/>
          <w:sz w:val="30"/>
          <w:szCs w:val="30"/>
          <w:lang w:eastAsia="zh-CN"/>
        </w:rPr>
        <w:t xml:space="preserve">  </w:t>
      </w:r>
      <w:r>
        <w:rPr>
          <w:rFonts w:hint="eastAsia" w:ascii="黑体" w:hAnsi="黑体" w:eastAsia="黑体" w:cs="黑体"/>
          <w:sz w:val="32"/>
          <w:szCs w:val="32"/>
        </w:rPr>
        <w:t>附件</w:t>
      </w:r>
      <w:r>
        <w:rPr>
          <w:rFonts w:hint="eastAsia" w:ascii="黑体" w:hAnsi="黑体" w:eastAsia="黑体" w:cs="黑体"/>
          <w:sz w:val="32"/>
          <w:szCs w:val="32"/>
          <w:lang w:eastAsia="zh-CN"/>
        </w:rPr>
        <w:t>10：粮食仓储企</w:t>
      </w:r>
      <w:bookmarkStart w:id="0" w:name="_GoBack"/>
      <w:bookmarkEnd w:id="0"/>
      <w:r>
        <w:rPr>
          <w:rFonts w:hint="eastAsia" w:ascii="黑体" w:hAnsi="黑体" w:eastAsia="黑体" w:cs="黑体"/>
          <w:sz w:val="32"/>
          <w:szCs w:val="32"/>
          <w:lang w:eastAsia="zh-CN"/>
        </w:rPr>
        <w:t xml:space="preserve">业现场评价标准                                </w:t>
      </w:r>
    </w:p>
    <w:p>
      <w:pPr>
        <w:adjustRightInd w:val="0"/>
        <w:snapToGrid w:val="0"/>
        <w:spacing w:afterLines="50" w:line="580" w:lineRule="exact"/>
        <w:ind w:firstLine="320" w:firstLineChars="100"/>
        <w:rPr>
          <w:rFonts w:ascii="黑体" w:hAnsi="黑体" w:eastAsia="黑体" w:cs="黑体"/>
          <w:kern w:val="2"/>
          <w:sz w:val="32"/>
          <w:szCs w:val="32"/>
        </w:rPr>
      </w:pPr>
      <w:r>
        <w:rPr>
          <w:rFonts w:hint="eastAsia" w:ascii="黑体" w:hAnsi="黑体" w:eastAsia="黑体" w:cs="黑体"/>
          <w:sz w:val="32"/>
          <w:szCs w:val="32"/>
          <w:lang w:eastAsia="zh-CN"/>
        </w:rPr>
        <w:t>名称：</w:t>
      </w:r>
      <w:r>
        <w:rPr>
          <w:rFonts w:hint="eastAsia" w:ascii="黑体" w:hAnsi="黑体" w:eastAsia="黑体" w:cs="黑体"/>
          <w:sz w:val="32"/>
          <w:szCs w:val="32"/>
          <w:u w:val="single"/>
          <w:lang w:eastAsia="zh-CN"/>
        </w:rPr>
        <w:t xml:space="preserve">                            </w:t>
      </w:r>
      <w:r>
        <w:rPr>
          <w:rFonts w:hint="eastAsia" w:ascii="黑体" w:hAnsi="黑体" w:eastAsia="黑体" w:cs="黑体"/>
          <w:sz w:val="32"/>
          <w:szCs w:val="32"/>
          <w:lang w:eastAsia="zh-CN"/>
        </w:rPr>
        <w:t xml:space="preserve">                      评估人员：</w:t>
      </w:r>
      <w:r>
        <w:rPr>
          <w:rFonts w:hint="eastAsia" w:ascii="黑体" w:hAnsi="黑体" w:eastAsia="黑体" w:cs="黑体"/>
          <w:sz w:val="32"/>
          <w:szCs w:val="32"/>
          <w:u w:val="single"/>
          <w:lang w:eastAsia="zh-CN"/>
        </w:rPr>
        <w:t xml:space="preserve">                 </w:t>
      </w:r>
    </w:p>
    <w:tbl>
      <w:tblPr>
        <w:tblStyle w:val="4"/>
        <w:tblW w:w="13987" w:type="dxa"/>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2"/>
        <w:gridCol w:w="2098"/>
        <w:gridCol w:w="850"/>
        <w:gridCol w:w="8066"/>
        <w:gridCol w:w="1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582" w:type="dxa"/>
            <w:vAlign w:val="center"/>
          </w:tcPr>
          <w:p>
            <w:pPr>
              <w:widowControl/>
              <w:adjustRightInd w:val="0"/>
              <w:snapToGrid w:val="0"/>
              <w:jc w:val="center"/>
              <w:rPr>
                <w:rFonts w:ascii="仿宋" w:hAnsi="仿宋" w:eastAsia="仿宋" w:cs="仿宋"/>
                <w:sz w:val="24"/>
                <w:szCs w:val="24"/>
                <w:lang w:eastAsia="zh-CN"/>
              </w:rPr>
            </w:pPr>
            <w:r>
              <w:rPr>
                <w:rFonts w:hint="eastAsia" w:ascii="仿宋" w:hAnsi="仿宋" w:eastAsia="仿宋" w:cs="宋体"/>
                <w:b/>
                <w:bCs/>
                <w:kern w:val="0"/>
                <w:sz w:val="24"/>
                <w:szCs w:val="24"/>
                <w:lang w:eastAsia="zh-CN"/>
              </w:rPr>
              <w:t>评价指标</w:t>
            </w:r>
          </w:p>
        </w:tc>
        <w:tc>
          <w:tcPr>
            <w:tcW w:w="2098" w:type="dxa"/>
            <w:vAlign w:val="center"/>
          </w:tcPr>
          <w:p>
            <w:pPr>
              <w:widowControl/>
              <w:adjustRightInd w:val="0"/>
              <w:snapToGrid w:val="0"/>
              <w:jc w:val="center"/>
              <w:rPr>
                <w:rFonts w:ascii="仿宋" w:hAnsi="仿宋" w:eastAsia="仿宋" w:cs="宋体"/>
                <w:b/>
                <w:bCs/>
                <w:kern w:val="0"/>
                <w:sz w:val="24"/>
                <w:szCs w:val="24"/>
                <w:lang w:eastAsia="zh-CN"/>
              </w:rPr>
            </w:pPr>
            <w:r>
              <w:rPr>
                <w:rFonts w:hint="eastAsia" w:ascii="仿宋" w:hAnsi="仿宋" w:eastAsia="仿宋" w:cs="宋体"/>
                <w:b/>
                <w:bCs/>
                <w:kern w:val="0"/>
                <w:sz w:val="24"/>
                <w:szCs w:val="24"/>
                <w:lang w:eastAsia="zh-CN"/>
              </w:rPr>
              <w:t>评价要点</w:t>
            </w:r>
          </w:p>
        </w:tc>
        <w:tc>
          <w:tcPr>
            <w:tcW w:w="850" w:type="dxa"/>
            <w:vAlign w:val="center"/>
          </w:tcPr>
          <w:p>
            <w:pPr>
              <w:widowControl/>
              <w:adjustRightInd w:val="0"/>
              <w:snapToGrid w:val="0"/>
              <w:jc w:val="center"/>
              <w:rPr>
                <w:rFonts w:ascii="仿宋" w:hAnsi="仿宋" w:eastAsia="仿宋" w:cs="宋体"/>
                <w:b/>
                <w:bCs/>
                <w:kern w:val="0"/>
                <w:sz w:val="24"/>
                <w:szCs w:val="24"/>
                <w:lang w:eastAsia="zh-CN"/>
              </w:rPr>
            </w:pPr>
            <w:r>
              <w:rPr>
                <w:rFonts w:hint="eastAsia" w:ascii="仿宋" w:hAnsi="仿宋" w:eastAsia="仿宋" w:cs="宋体"/>
                <w:b/>
                <w:bCs/>
                <w:kern w:val="0"/>
                <w:sz w:val="24"/>
                <w:szCs w:val="24"/>
                <w:lang w:eastAsia="zh-CN"/>
              </w:rPr>
              <w:t>序号</w:t>
            </w:r>
          </w:p>
        </w:tc>
        <w:tc>
          <w:tcPr>
            <w:tcW w:w="8066" w:type="dxa"/>
            <w:vAlign w:val="center"/>
          </w:tcPr>
          <w:p>
            <w:pPr>
              <w:widowControl/>
              <w:adjustRightInd w:val="0"/>
              <w:snapToGrid w:val="0"/>
              <w:jc w:val="center"/>
              <w:rPr>
                <w:rFonts w:ascii="仿宋" w:hAnsi="仿宋" w:eastAsia="仿宋" w:cs="仿宋"/>
                <w:sz w:val="24"/>
                <w:szCs w:val="24"/>
                <w:lang w:eastAsia="zh-CN"/>
              </w:rPr>
            </w:pPr>
            <w:r>
              <w:rPr>
                <w:rFonts w:hint="eastAsia" w:ascii="仿宋" w:hAnsi="仿宋" w:eastAsia="仿宋" w:cs="宋体"/>
                <w:b/>
                <w:bCs/>
                <w:kern w:val="0"/>
                <w:sz w:val="24"/>
                <w:szCs w:val="24"/>
                <w:lang w:eastAsia="zh-CN"/>
              </w:rPr>
              <w:t>评价要点</w:t>
            </w:r>
          </w:p>
        </w:tc>
        <w:tc>
          <w:tcPr>
            <w:tcW w:w="1391" w:type="dxa"/>
            <w:vAlign w:val="center"/>
          </w:tcPr>
          <w:p>
            <w:pPr>
              <w:widowControl/>
              <w:adjustRightInd w:val="0"/>
              <w:snapToGrid w:val="0"/>
              <w:jc w:val="center"/>
              <w:rPr>
                <w:rFonts w:ascii="仿宋" w:hAnsi="仿宋" w:eastAsia="仿宋" w:cs="仿宋"/>
                <w:sz w:val="24"/>
                <w:szCs w:val="24"/>
                <w:lang w:eastAsia="zh-CN"/>
              </w:rPr>
            </w:pPr>
            <w:r>
              <w:rPr>
                <w:rFonts w:hint="eastAsia" w:ascii="仿宋" w:hAnsi="仿宋" w:eastAsia="仿宋" w:cs="宋体"/>
                <w:b/>
                <w:bCs/>
                <w:kern w:val="0"/>
                <w:sz w:val="24"/>
                <w:szCs w:val="24"/>
                <w:lang w:eastAsia="zh-CN"/>
              </w:rPr>
              <w:t>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restart"/>
            <w:vAlign w:val="center"/>
          </w:tcPr>
          <w:p>
            <w:pPr>
              <w:widowControl/>
              <w:adjustRightInd w:val="0"/>
              <w:snapToGrid w:val="0"/>
              <w:rPr>
                <w:rFonts w:ascii="仿宋" w:hAnsi="仿宋" w:eastAsia="仿宋"/>
                <w:kern w:val="0"/>
                <w:sz w:val="24"/>
                <w:szCs w:val="24"/>
                <w:lang w:eastAsia="zh-CN"/>
              </w:rPr>
            </w:pPr>
            <w:r>
              <w:rPr>
                <w:rFonts w:hint="eastAsia" w:ascii="仿宋_GB2312" w:hAnsi="宋体"/>
                <w:sz w:val="24"/>
                <w:szCs w:val="24"/>
                <w:lang w:eastAsia="zh-CN"/>
              </w:rPr>
              <w:t>（一）</w:t>
            </w:r>
            <w:r>
              <w:rPr>
                <w:rFonts w:hint="eastAsia" w:ascii="仿宋_GB2312" w:hAnsi="宋体" w:eastAsia="仿宋_GB2312"/>
                <w:sz w:val="24"/>
                <w:szCs w:val="24"/>
              </w:rPr>
              <w:t>食品安全标准和良好行为规范落实</w:t>
            </w:r>
          </w:p>
        </w:tc>
        <w:tc>
          <w:tcPr>
            <w:tcW w:w="2098" w:type="dxa"/>
            <w:vMerge w:val="restart"/>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一、粮食收购、储存管理</w:t>
            </w: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1.1</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在粮食收购期间，企业应通过板报、广播、宣传栏、宣传单等形式向卖粮人员宣传粮食收购程序及卖粮应遵守的安全规定。</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Merge w:val="continue"/>
            <w:vAlign w:val="center"/>
          </w:tcPr>
          <w:p>
            <w:pPr>
              <w:widowControl/>
              <w:adjustRightInd w:val="0"/>
              <w:snapToGrid w:val="0"/>
              <w:rPr>
                <w:rFonts w:ascii="仿宋" w:hAnsi="仿宋" w:eastAsia="仿宋"/>
                <w:kern w:val="0"/>
                <w:sz w:val="24"/>
                <w:szCs w:val="24"/>
                <w:lang w:eastAsia="zh-CN"/>
              </w:rPr>
            </w:pP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1.2</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在作业场所和安全设施、设备上设置明显的安全警示标志。</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Merge w:val="continue"/>
            <w:vAlign w:val="center"/>
          </w:tcPr>
          <w:p>
            <w:pPr>
              <w:widowControl/>
              <w:adjustRightInd w:val="0"/>
              <w:snapToGrid w:val="0"/>
              <w:rPr>
                <w:rFonts w:ascii="仿宋" w:hAnsi="仿宋" w:eastAsia="仿宋"/>
                <w:kern w:val="0"/>
                <w:sz w:val="24"/>
                <w:szCs w:val="24"/>
                <w:lang w:eastAsia="zh-CN"/>
              </w:rPr>
            </w:pP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1.3</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安全设备的设计、制造、安装、使用、检测、维修、改造和报废，应符合国家标准或者行业标准。</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Merge w:val="continue"/>
            <w:vAlign w:val="center"/>
          </w:tcPr>
          <w:p>
            <w:pPr>
              <w:widowControl/>
              <w:adjustRightInd w:val="0"/>
              <w:snapToGrid w:val="0"/>
              <w:rPr>
                <w:rFonts w:ascii="仿宋" w:hAnsi="仿宋" w:eastAsia="仿宋"/>
                <w:kern w:val="0"/>
                <w:sz w:val="24"/>
                <w:szCs w:val="24"/>
                <w:lang w:eastAsia="zh-CN"/>
              </w:rPr>
            </w:pP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1.4</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应引导进入库区的卖粮车辆及人员按顺序排队，确保有序收购，对违反粮库安全管理规定的人和事要及时予以制止和纠正。</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Merge w:val="continue"/>
            <w:vAlign w:val="center"/>
          </w:tcPr>
          <w:p>
            <w:pPr>
              <w:widowControl/>
              <w:adjustRightInd w:val="0"/>
              <w:snapToGrid w:val="0"/>
              <w:rPr>
                <w:rFonts w:ascii="仿宋" w:hAnsi="仿宋" w:eastAsia="仿宋"/>
                <w:kern w:val="0"/>
                <w:sz w:val="24"/>
                <w:szCs w:val="24"/>
                <w:lang w:eastAsia="zh-CN"/>
              </w:rPr>
            </w:pP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1.5</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车辆出入库区必须履行登记手续；严禁不符合安全规定的车辆及闲散人员进入库区；进入库区的机动车及人员未经允许，严禁进入储粮区和资材库区内。</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Merge w:val="continue"/>
            <w:vAlign w:val="center"/>
          </w:tcPr>
          <w:p>
            <w:pPr>
              <w:widowControl/>
              <w:adjustRightInd w:val="0"/>
              <w:snapToGrid w:val="0"/>
              <w:rPr>
                <w:rFonts w:ascii="仿宋" w:hAnsi="仿宋" w:eastAsia="仿宋"/>
                <w:kern w:val="0"/>
                <w:sz w:val="24"/>
                <w:szCs w:val="24"/>
                <w:lang w:eastAsia="zh-CN"/>
              </w:rPr>
            </w:pP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1.6</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不得隐瞒或者不及时处理安全隐患。</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 w:hRule="atLeast"/>
        </w:trPr>
        <w:tc>
          <w:tcPr>
            <w:tcW w:w="1582" w:type="dxa"/>
            <w:vAlign w:val="center"/>
          </w:tcPr>
          <w:p>
            <w:pPr>
              <w:widowControl/>
              <w:adjustRightInd w:val="0"/>
              <w:snapToGrid w:val="0"/>
              <w:rPr>
                <w:rFonts w:ascii="仿宋" w:hAnsi="仿宋" w:eastAsia="仿宋"/>
                <w:kern w:val="0"/>
                <w:sz w:val="24"/>
                <w:szCs w:val="24"/>
                <w:lang w:eastAsia="zh-CN"/>
              </w:rPr>
            </w:pPr>
          </w:p>
        </w:tc>
        <w:tc>
          <w:tcPr>
            <w:tcW w:w="2098" w:type="dxa"/>
            <w:vAlign w:val="center"/>
          </w:tcPr>
          <w:p>
            <w:pPr>
              <w:widowControl/>
              <w:adjustRightInd w:val="0"/>
              <w:snapToGrid w:val="0"/>
              <w:rPr>
                <w:rFonts w:ascii="仿宋" w:hAnsi="仿宋" w:eastAsia="仿宋"/>
                <w:kern w:val="0"/>
                <w:sz w:val="24"/>
                <w:szCs w:val="24"/>
                <w:lang w:eastAsia="zh-CN"/>
              </w:rPr>
            </w:pP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1.7</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有相应的粮食烘干服务措施，温度湿度控制合理（温度5°-15°，相对湿度0-13%以下）。</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restart"/>
            <w:vAlign w:val="center"/>
          </w:tcPr>
          <w:p>
            <w:pPr>
              <w:widowControl/>
              <w:jc w:val="left"/>
              <w:rPr>
                <w:rFonts w:ascii="仿宋" w:hAnsi="仿宋" w:eastAsia="仿宋" w:cs="仿宋"/>
                <w:sz w:val="24"/>
                <w:szCs w:val="24"/>
              </w:rPr>
            </w:pPr>
            <w:r>
              <w:rPr>
                <w:rFonts w:hint="eastAsia" w:ascii="仿宋" w:hAnsi="仿宋" w:eastAsia="仿宋" w:cs="仿宋"/>
                <w:sz w:val="24"/>
                <w:szCs w:val="24"/>
                <w:lang w:eastAsia="zh-CN"/>
              </w:rPr>
              <w:t>（二）</w:t>
            </w:r>
            <w:r>
              <w:rPr>
                <w:rFonts w:hint="eastAsia" w:ascii="仿宋" w:hAnsi="仿宋" w:eastAsia="仿宋" w:cs="仿宋"/>
                <w:sz w:val="24"/>
                <w:szCs w:val="24"/>
              </w:rPr>
              <w:t>管理制度</w:t>
            </w:r>
            <w:r>
              <w:rPr>
                <w:rFonts w:hint="eastAsia" w:ascii="仿宋" w:hAnsi="仿宋" w:eastAsia="仿宋" w:cs="仿宋"/>
                <w:sz w:val="24"/>
                <w:szCs w:val="24"/>
                <w:lang w:eastAsia="zh-CN"/>
              </w:rPr>
              <w:t>/卫生质量管理</w:t>
            </w:r>
          </w:p>
        </w:tc>
        <w:tc>
          <w:tcPr>
            <w:tcW w:w="2098" w:type="dxa"/>
            <w:vMerge w:val="restart"/>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二、健全企业安全生产责任体系</w:t>
            </w: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2.1</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落实安全管理力量，依法设置安全生产管理机构，配齐专兼职安全管理人员。</w:t>
            </w:r>
          </w:p>
        </w:tc>
        <w:tc>
          <w:tcPr>
            <w:tcW w:w="1391" w:type="dxa"/>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Merge w:val="continue"/>
            <w:vAlign w:val="center"/>
          </w:tcPr>
          <w:p>
            <w:pPr>
              <w:widowControl/>
              <w:adjustRightInd w:val="0"/>
              <w:snapToGrid w:val="0"/>
              <w:rPr>
                <w:rFonts w:ascii="仿宋" w:hAnsi="仿宋" w:eastAsia="仿宋"/>
                <w:kern w:val="0"/>
                <w:sz w:val="24"/>
                <w:szCs w:val="24"/>
                <w:lang w:eastAsia="zh-CN"/>
              </w:rPr>
            </w:pP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2.2</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落实安全生产报告制度，定期向当地粮食行政管理部门报告安全生产情况。</w:t>
            </w:r>
          </w:p>
        </w:tc>
        <w:tc>
          <w:tcPr>
            <w:tcW w:w="1391" w:type="dxa"/>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Merge w:val="restart"/>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三、基础管理</w:t>
            </w: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3.1</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安全生产与本单位经济活动必须同时计划、部署、检查、考核、总结。</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Merge w:val="continue"/>
            <w:vAlign w:val="center"/>
          </w:tcPr>
          <w:p>
            <w:pPr>
              <w:widowControl/>
              <w:adjustRightInd w:val="0"/>
              <w:snapToGrid w:val="0"/>
              <w:rPr>
                <w:rFonts w:ascii="仿宋" w:hAnsi="仿宋" w:eastAsia="仿宋"/>
                <w:kern w:val="0"/>
                <w:sz w:val="24"/>
                <w:szCs w:val="24"/>
                <w:lang w:eastAsia="zh-CN"/>
              </w:rPr>
            </w:pP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3.2</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建立健全安全生产工作例会制度；安全教育培训制度；安全生产检查制度；设备、设施及人员安全管理制度；危险作业管理（审批）制度；特种作业管理制度；劳动防护用品管理制度；危险化学品（剧毒、易制毒、制暴）安全管理制度安全；承发包安全管理制度；应急管理制度；事故报告制度；安全奖惩制度。</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7" w:hRule="atLeast"/>
        </w:trPr>
        <w:tc>
          <w:tcPr>
            <w:tcW w:w="1582" w:type="dxa"/>
            <w:vMerge w:val="continue"/>
            <w:vAlign w:val="center"/>
          </w:tcPr>
          <w:p>
            <w:pPr>
              <w:widowControl/>
              <w:adjustRightInd w:val="0"/>
              <w:snapToGrid w:val="0"/>
              <w:rPr>
                <w:rFonts w:ascii="仿宋" w:hAnsi="仿宋" w:eastAsia="仿宋"/>
                <w:kern w:val="0"/>
                <w:sz w:val="24"/>
                <w:szCs w:val="24"/>
                <w:lang w:eastAsia="zh-CN"/>
              </w:rPr>
            </w:pPr>
          </w:p>
        </w:tc>
        <w:tc>
          <w:tcPr>
            <w:tcW w:w="2098"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四、教育培训</w:t>
            </w: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4.1</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生产经营单位应当建立安全生产教育和培训档案，如实记录安全生产教育和培训的时间、内容、参加人员等情况。</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582" w:type="dxa"/>
            <w:vAlign w:val="center"/>
          </w:tcPr>
          <w:p>
            <w:pPr>
              <w:widowControl/>
              <w:adjustRightInd w:val="0"/>
              <w:snapToGrid w:val="0"/>
              <w:rPr>
                <w:rFonts w:ascii="仿宋" w:hAnsi="仿宋" w:eastAsia="仿宋"/>
                <w:kern w:val="0"/>
                <w:sz w:val="24"/>
                <w:szCs w:val="24"/>
                <w:lang w:eastAsia="zh-CN"/>
              </w:rPr>
            </w:pPr>
            <w:r>
              <w:rPr>
                <w:rFonts w:hint="eastAsia" w:ascii="仿宋_GB2312" w:hAnsi="宋体"/>
                <w:sz w:val="24"/>
                <w:szCs w:val="24"/>
                <w:lang w:eastAsia="zh-CN"/>
              </w:rPr>
              <w:t>（三）</w:t>
            </w:r>
            <w:r>
              <w:rPr>
                <w:rFonts w:hint="eastAsia" w:ascii="仿宋_GB2312" w:hAnsi="宋体" w:eastAsia="仿宋_GB2312"/>
                <w:sz w:val="24"/>
                <w:szCs w:val="24"/>
              </w:rPr>
              <w:t>日常检查</w:t>
            </w:r>
          </w:p>
        </w:tc>
        <w:tc>
          <w:tcPr>
            <w:tcW w:w="2098"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五、</w:t>
            </w:r>
            <w:r>
              <w:rPr>
                <w:rFonts w:hint="eastAsia" w:ascii="仿宋" w:hAnsi="仿宋" w:eastAsia="仿宋"/>
                <w:kern w:val="0"/>
                <w:sz w:val="24"/>
                <w:szCs w:val="24"/>
              </w:rPr>
              <w:t>其他需要检查的情况</w:t>
            </w:r>
            <w:r>
              <w:rPr>
                <w:rFonts w:hint="eastAsia" w:ascii="仿宋" w:hAnsi="仿宋" w:eastAsia="仿宋"/>
                <w:kern w:val="0"/>
                <w:sz w:val="24"/>
                <w:szCs w:val="24"/>
                <w:lang w:eastAsia="zh-CN"/>
              </w:rPr>
              <w:t>（依</w:t>
            </w:r>
            <w:r>
              <w:rPr>
                <w:rFonts w:hint="eastAsia" w:ascii="仿宋" w:hAnsi="仿宋" w:eastAsia="仿宋" w:cs="宋体"/>
                <w:kern w:val="0"/>
                <w:sz w:val="24"/>
                <w:szCs w:val="24"/>
              </w:rPr>
              <w:t>法律法规规章等规定</w:t>
            </w:r>
            <w:r>
              <w:rPr>
                <w:rFonts w:hint="eastAsia" w:ascii="仿宋" w:hAnsi="仿宋" w:eastAsia="仿宋" w:cs="宋体"/>
                <w:kern w:val="0"/>
                <w:sz w:val="24"/>
                <w:szCs w:val="24"/>
                <w:lang w:eastAsia="zh-CN"/>
              </w:rPr>
              <w:t>和需要</w:t>
            </w:r>
            <w:r>
              <w:rPr>
                <w:rFonts w:hint="eastAsia" w:ascii="仿宋" w:hAnsi="仿宋" w:eastAsia="仿宋"/>
                <w:kern w:val="0"/>
                <w:sz w:val="24"/>
                <w:szCs w:val="24"/>
                <w:lang w:eastAsia="zh-CN"/>
              </w:rPr>
              <w:t>）</w:t>
            </w:r>
          </w:p>
        </w:tc>
        <w:tc>
          <w:tcPr>
            <w:tcW w:w="850" w:type="dxa"/>
            <w:vAlign w:val="center"/>
          </w:tcPr>
          <w:p>
            <w:pPr>
              <w:widowControl/>
              <w:adjustRightInd w:val="0"/>
              <w:snapToGrid w:val="0"/>
              <w:jc w:val="center"/>
              <w:rPr>
                <w:rFonts w:ascii="仿宋" w:hAnsi="仿宋" w:eastAsia="仿宋"/>
                <w:kern w:val="0"/>
                <w:sz w:val="24"/>
                <w:szCs w:val="24"/>
                <w:lang w:eastAsia="zh-CN"/>
              </w:rPr>
            </w:pPr>
            <w:r>
              <w:rPr>
                <w:rFonts w:hint="eastAsia" w:ascii="仿宋" w:hAnsi="仿宋" w:eastAsia="仿宋"/>
                <w:kern w:val="0"/>
                <w:sz w:val="24"/>
                <w:szCs w:val="24"/>
                <w:lang w:eastAsia="zh-CN"/>
              </w:rPr>
              <w:t>5.1</w:t>
            </w:r>
          </w:p>
        </w:tc>
        <w:tc>
          <w:tcPr>
            <w:tcW w:w="8066"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cs="宋体"/>
                <w:kern w:val="0"/>
                <w:sz w:val="24"/>
                <w:szCs w:val="24"/>
                <w:lang w:eastAsia="zh-CN"/>
              </w:rPr>
              <w:t>监管部门日常检查记录。</w:t>
            </w:r>
          </w:p>
        </w:tc>
        <w:tc>
          <w:tcPr>
            <w:tcW w:w="1391" w:type="dxa"/>
            <w:vAlign w:val="center"/>
          </w:tcPr>
          <w:p>
            <w:pPr>
              <w:widowControl/>
              <w:adjustRightInd w:val="0"/>
              <w:snapToGrid w:val="0"/>
              <w:rPr>
                <w:rFonts w:ascii="仿宋" w:hAnsi="仿宋" w:eastAsia="仿宋"/>
                <w:kern w:val="0"/>
                <w:sz w:val="24"/>
                <w:szCs w:val="24"/>
                <w:lang w:eastAsia="zh-CN"/>
              </w:rPr>
            </w:pPr>
            <w:r>
              <w:rPr>
                <w:rFonts w:hint="eastAsia" w:ascii="仿宋" w:hAnsi="仿宋" w:eastAsia="仿宋"/>
                <w:kern w:val="0"/>
                <w:sz w:val="24"/>
                <w:szCs w:val="24"/>
                <w:lang w:eastAsia="zh-CN"/>
              </w:rPr>
              <w:t>□是 □否</w:t>
            </w:r>
          </w:p>
        </w:tc>
      </w:tr>
    </w:tbl>
    <w:p>
      <w:pPr>
        <w:adjustRightInd w:val="0"/>
        <w:snapToGrid w:val="0"/>
        <w:spacing w:line="580" w:lineRule="exact"/>
        <w:rPr>
          <w:rFonts w:ascii="黑体" w:hAnsi="黑体" w:eastAsia="黑体" w:cs="黑体"/>
          <w:sz w:val="32"/>
          <w:szCs w:val="32"/>
        </w:rPr>
      </w:pPr>
    </w:p>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path/>
          <v:fill on="f" focussize="0,0"/>
          <v:stroke on="f" weight="0.5pt" joinstyle="miter"/>
          <v:imagedata o:title=""/>
          <o:lock v:ext="edit"/>
          <v:textbox inset="0mm,0mm,0mm,0mm" style="mso-fit-shape-to-text:t;">
            <w:txbxContent>
              <w:p>
                <w:pPr>
                  <w:pStyle w:val="2"/>
                  <w:rPr>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48079E1"/>
    <w:rsid w:val="000B3CF0"/>
    <w:rsid w:val="00331AFF"/>
    <w:rsid w:val="003F66BC"/>
    <w:rsid w:val="00446CE9"/>
    <w:rsid w:val="00582CFE"/>
    <w:rsid w:val="00732ECE"/>
    <w:rsid w:val="00762E9E"/>
    <w:rsid w:val="007F40DD"/>
    <w:rsid w:val="00855412"/>
    <w:rsid w:val="00A21078"/>
    <w:rsid w:val="00AF3A02"/>
    <w:rsid w:val="00B61BD9"/>
    <w:rsid w:val="00BB2431"/>
    <w:rsid w:val="00E904D9"/>
    <w:rsid w:val="00F74A44"/>
    <w:rsid w:val="049A515D"/>
    <w:rsid w:val="0571651B"/>
    <w:rsid w:val="05AD71A6"/>
    <w:rsid w:val="11EC7831"/>
    <w:rsid w:val="1C755624"/>
    <w:rsid w:val="24BE21C9"/>
    <w:rsid w:val="37E73A8F"/>
    <w:rsid w:val="4B5F1967"/>
    <w:rsid w:val="4F404BE9"/>
    <w:rsid w:val="5F813942"/>
    <w:rsid w:val="663877DB"/>
    <w:rsid w:val="67BB6541"/>
    <w:rsid w:val="6E8E635C"/>
    <w:rsid w:val="748079E1"/>
    <w:rsid w:val="7DAD1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Calibri"/>
      <w:kern w:val="1"/>
      <w:sz w:val="21"/>
      <w:szCs w:val="22"/>
      <w:lang w:val="en-US" w:eastAsia="ar-SA"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154</Words>
  <Characters>882</Characters>
  <Lines>7</Lines>
  <Paragraphs>2</Paragraphs>
  <TotalTime>12</TotalTime>
  <ScaleCrop>false</ScaleCrop>
  <LinksUpToDate>false</LinksUpToDate>
  <CharactersWithSpaces>1034</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2018-06-03T15:34:00Z</dcterms:created>
  <dc:creator>梧桐树</dc:creator>
  <cp:lastModifiedBy>开疆拓土</cp:lastModifiedBy>
  <dcterms:modified xsi:type="dcterms:W3CDTF">2019-02-21T07:46:19Z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