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DFB" w:rsidRPr="005D19F8" w:rsidRDefault="00210DFB" w:rsidP="00210DFB">
      <w:pPr>
        <w:widowControl/>
        <w:spacing w:before="100" w:beforeAutospacing="1" w:after="100" w:afterAutospacing="1"/>
        <w:jc w:val="center"/>
        <w:outlineLvl w:val="0"/>
        <w:rPr>
          <w:rFonts w:ascii="仿宋_GB2312" w:eastAsia="仿宋_GB2312" w:hAnsi="Tahoma" w:cs="Tahoma" w:hint="eastAsia"/>
          <w:b/>
          <w:bCs/>
          <w:color w:val="333333"/>
          <w:kern w:val="36"/>
          <w:sz w:val="36"/>
          <w:szCs w:val="36"/>
        </w:rPr>
      </w:pPr>
      <w:r w:rsidRPr="005D19F8">
        <w:rPr>
          <w:rFonts w:ascii="仿宋_GB2312" w:eastAsia="仿宋_GB2312" w:hAnsi="Tahoma" w:cs="Tahoma" w:hint="eastAsia"/>
          <w:b/>
          <w:bCs/>
          <w:color w:val="333333"/>
          <w:kern w:val="36"/>
          <w:sz w:val="36"/>
          <w:szCs w:val="36"/>
        </w:rPr>
        <w:t>常用危险化学品贮存通则 GB 15603-1995</w:t>
      </w:r>
    </w:p>
    <w:tbl>
      <w:tblPr>
        <w:tblW w:w="4973" w:type="pct"/>
        <w:jc w:val="center"/>
        <w:tblCellSpacing w:w="15" w:type="dxa"/>
        <w:tblCellMar>
          <w:top w:w="15" w:type="dxa"/>
          <w:left w:w="15" w:type="dxa"/>
          <w:bottom w:w="15" w:type="dxa"/>
          <w:right w:w="15" w:type="dxa"/>
        </w:tblCellMar>
        <w:tblLook w:val="04A0"/>
      </w:tblPr>
      <w:tblGrid>
        <w:gridCol w:w="50"/>
        <w:gridCol w:w="3726"/>
        <w:gridCol w:w="135"/>
        <w:gridCol w:w="4395"/>
        <w:gridCol w:w="45"/>
      </w:tblGrid>
      <w:tr w:rsidR="00210DFB" w:rsidRPr="005D19F8" w:rsidTr="005D19F8">
        <w:trPr>
          <w:gridAfter w:val="1"/>
          <w:tblCellSpacing w:w="15" w:type="dxa"/>
          <w:jc w:val="center"/>
        </w:trPr>
        <w:tc>
          <w:tcPr>
            <w:tcW w:w="2100" w:type="dxa"/>
            <w:gridSpan w:val="2"/>
            <w:vAlign w:val="center"/>
            <w:hideMark/>
          </w:tcPr>
          <w:p w:rsidR="00210DFB" w:rsidRPr="005D19F8" w:rsidRDefault="00210DFB" w:rsidP="00210DFB">
            <w:pPr>
              <w:widowControl/>
              <w:jc w:val="left"/>
              <w:rPr>
                <w:rFonts w:ascii="仿宋_GB2312" w:eastAsia="仿宋_GB2312" w:hAnsi="Tahoma" w:cs="Tahoma" w:hint="eastAsia"/>
                <w:color w:val="333333"/>
                <w:kern w:val="0"/>
                <w:sz w:val="28"/>
                <w:szCs w:val="28"/>
              </w:rPr>
            </w:pPr>
          </w:p>
        </w:tc>
        <w:tc>
          <w:tcPr>
            <w:tcW w:w="0" w:type="auto"/>
            <w:vAlign w:val="center"/>
            <w:hideMark/>
          </w:tcPr>
          <w:p w:rsidR="00210DFB" w:rsidRPr="005D19F8" w:rsidRDefault="00210DFB" w:rsidP="00210DFB">
            <w:pPr>
              <w:widowControl/>
              <w:jc w:val="center"/>
              <w:rPr>
                <w:rFonts w:ascii="仿宋_GB2312" w:eastAsia="仿宋_GB2312" w:hAnsi="Tahoma" w:cs="Tahoma" w:hint="eastAsia"/>
                <w:color w:val="333333"/>
                <w:kern w:val="0"/>
                <w:sz w:val="28"/>
                <w:szCs w:val="28"/>
              </w:rPr>
            </w:pPr>
          </w:p>
        </w:tc>
        <w:tc>
          <w:tcPr>
            <w:tcW w:w="2415" w:type="dxa"/>
            <w:vAlign w:val="center"/>
            <w:hideMark/>
          </w:tcPr>
          <w:p w:rsidR="00210DFB" w:rsidRPr="005D19F8" w:rsidRDefault="00210DFB" w:rsidP="00210DFB">
            <w:pPr>
              <w:widowControl/>
              <w:jc w:val="right"/>
              <w:rPr>
                <w:rFonts w:ascii="仿宋_GB2312" w:eastAsia="仿宋_GB2312" w:hAnsi="Tahoma" w:cs="Tahoma" w:hint="eastAsia"/>
                <w:color w:val="333333"/>
                <w:kern w:val="0"/>
                <w:sz w:val="28"/>
                <w:szCs w:val="28"/>
              </w:rPr>
            </w:pPr>
          </w:p>
        </w:tc>
      </w:tr>
      <w:tr w:rsidR="00210DFB" w:rsidRPr="005D19F8" w:rsidTr="005D19F8">
        <w:tblPrEx>
          <w:jc w:val="left"/>
          <w:tblCellSpacing w:w="0" w:type="dxa"/>
          <w:tblCellMar>
            <w:top w:w="0" w:type="dxa"/>
            <w:left w:w="0" w:type="dxa"/>
            <w:bottom w:w="0" w:type="dxa"/>
            <w:right w:w="0" w:type="dxa"/>
          </w:tblCellMar>
        </w:tblPrEx>
        <w:trPr>
          <w:gridBefore w:val="1"/>
          <w:tblCellSpacing w:w="0" w:type="dxa"/>
        </w:trPr>
        <w:tc>
          <w:tcPr>
            <w:tcW w:w="0" w:type="auto"/>
            <w:gridSpan w:val="4"/>
            <w:hideMark/>
          </w:tcPr>
          <w:tbl>
            <w:tblPr>
              <w:tblW w:w="4750" w:type="pct"/>
              <w:tblCellSpacing w:w="0" w:type="dxa"/>
              <w:tblCellMar>
                <w:left w:w="0" w:type="dxa"/>
                <w:right w:w="0" w:type="dxa"/>
              </w:tblCellMar>
              <w:tblLook w:val="04A0"/>
            </w:tblPr>
            <w:tblGrid>
              <w:gridCol w:w="7886"/>
            </w:tblGrid>
            <w:tr w:rsidR="00210DFB" w:rsidRPr="005D19F8" w:rsidTr="00210DFB">
              <w:trPr>
                <w:tblCellSpacing w:w="0" w:type="dxa"/>
              </w:trPr>
              <w:tc>
                <w:tcPr>
                  <w:tcW w:w="0" w:type="auto"/>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1 主题内容与适用范围</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本标准规定了常用化学危险品（以下简称化学危险品）贮存的基本要求。</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本标准适用于常用化学危险品（以下简称化学危险品）出、入库，贮存及养护。</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2 引用标准</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GB 190危险货物包装标志</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GB 13690常用危险化学品的分类及标志</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GB J16建筑设计防火规范</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3 定义</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3.1 隔离贮存segregated storage在同一房间或同一区域内，不同的物料之间分开一定的距离，非禁忌物料间用通道保持空间的贮存方式。</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3.2 隔开贮存cut-off storage在同一建筑或同一区域内，用隔板或墙，将其与禁忌物料分离开的贮存方式。</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3.3 分离贮存detached storage在不同的建筑物或远离所有建筑的外部区域内的贮存方式。</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3.4 禁忌物料</w:t>
                  </w:r>
                  <w:proofErr w:type="spellStart"/>
                  <w:r w:rsidRPr="005D19F8">
                    <w:rPr>
                      <w:rFonts w:ascii="仿宋_GB2312" w:eastAsia="仿宋_GB2312" w:hAnsi="Tahoma" w:cs="Tahoma" w:hint="eastAsia"/>
                      <w:color w:val="333333"/>
                      <w:kern w:val="0"/>
                      <w:sz w:val="28"/>
                      <w:szCs w:val="28"/>
                    </w:rPr>
                    <w:t>incinpatible</w:t>
                  </w:r>
                  <w:proofErr w:type="spellEnd"/>
                  <w:r w:rsidRPr="005D19F8">
                    <w:rPr>
                      <w:rFonts w:ascii="仿宋_GB2312" w:eastAsia="仿宋_GB2312" w:hAnsi="Tahoma" w:cs="Tahoma" w:hint="eastAsia"/>
                      <w:color w:val="333333"/>
                      <w:kern w:val="0"/>
                      <w:sz w:val="28"/>
                      <w:szCs w:val="28"/>
                    </w:rPr>
                    <w:t xml:space="preserve"> </w:t>
                  </w:r>
                  <w:proofErr w:type="spellStart"/>
                  <w:r w:rsidRPr="005D19F8">
                    <w:rPr>
                      <w:rFonts w:ascii="仿宋_GB2312" w:eastAsia="仿宋_GB2312" w:hAnsi="Tahoma" w:cs="Tahoma" w:hint="eastAsia"/>
                      <w:color w:val="333333"/>
                      <w:kern w:val="0"/>
                      <w:sz w:val="28"/>
                      <w:szCs w:val="28"/>
                    </w:rPr>
                    <w:t>inaterals</w:t>
                  </w:r>
                  <w:proofErr w:type="spellEnd"/>
                  <w:r w:rsidRPr="005D19F8">
                    <w:rPr>
                      <w:rFonts w:ascii="仿宋_GB2312" w:eastAsia="仿宋_GB2312" w:hAnsi="Tahoma" w:cs="Tahoma" w:hint="eastAsia"/>
                      <w:color w:val="333333"/>
                      <w:kern w:val="0"/>
                      <w:sz w:val="28"/>
                      <w:szCs w:val="28"/>
                    </w:rPr>
                    <w:t>化学性质相抵触或灭火方法不同的化学物料。</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4 化学危险品贮存的基本要求</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4.1 贮存化学危险品必须遵照国家法律、法规和其他有关的规</w:t>
                  </w:r>
                  <w:r w:rsidRPr="005D19F8">
                    <w:rPr>
                      <w:rFonts w:ascii="仿宋_GB2312" w:eastAsia="仿宋_GB2312" w:hAnsi="Tahoma" w:cs="Tahoma" w:hint="eastAsia"/>
                      <w:color w:val="333333"/>
                      <w:kern w:val="0"/>
                      <w:sz w:val="28"/>
                      <w:szCs w:val="28"/>
                    </w:rPr>
                    <w:lastRenderedPageBreak/>
                    <w:t>定。</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4.2 化学危险品必须贮存在经公安部门批准设置的专门的化学危险品仓库中，经销部门自管仓库 贮存化学危险品及贮存数量必须经公安部门批准。未经批准不得随意设置化学危险品贮存仓库。</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4.3 化学危险品露天堆放，应符合防火、防爆的安全要求，爆炸物品、一级易燃物品、遇湿燃烧物品、剧毒物品不得露天堆放。</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4.4 贮存化学危险品的仓库必须配备有专业知识的技术人员，其库房及场所应设专人管理，管理人员必须配备可靠的个人安全防护用品。</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4.5 化学危险品按GB13690的规定分为八类：</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a.爆炸品； 国家技术监督局1995-07-26批准1996-02-01实施</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b.压缩气体和液化气体；</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c.易燃液体；</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d.易燃固体、自燃物品和遇湿易燃物品；</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e.氧化剂和有机过氧化物；</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f.毒害品；</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g.放射性物品；</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h.腐蚀品。</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4.6 标志</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贮存的化学危险品应有明显的标志，标志应符合GB190的规</w:t>
                  </w:r>
                  <w:r w:rsidRPr="005D19F8">
                    <w:rPr>
                      <w:rFonts w:ascii="仿宋_GB2312" w:eastAsia="仿宋_GB2312" w:hAnsi="Tahoma" w:cs="Tahoma" w:hint="eastAsia"/>
                      <w:color w:val="333333"/>
                      <w:kern w:val="0"/>
                      <w:sz w:val="28"/>
                      <w:szCs w:val="28"/>
                    </w:rPr>
                    <w:lastRenderedPageBreak/>
                    <w:t>定。同一区域贮存两种或两种以上不同级别的危险品时，应按最高等级危险物品的性能标志。</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4.7 贮存方式化学危险品贮存方式分为三种：</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a.隔离贮存；</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b.隔开贮存；</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c.分离贮存。</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4.8 根据危险品性能分区、分类、分库贮存。 各类危险品不得与禁忌物料混合贮存，禁忌物料配置见附录A（参考件）。</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4.9 贮存化学危险品的建筑物、区域内严禁吸烟和使用明火。</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 贮存场所的要求</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5.1 贮存化学危险品的建筑物不得有地下室或其他地下建筑，其耐火等级、层数、占地面积、安全疏散和防火间距，应符合国家有关规定。</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5.2 贮存地点及建筑结构的设置，除了应符合国家的有关规定外，还应考虑对周围环境和居民的影响。</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5.3 贮存场所的电气安装</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5.3.1 化学危险品贮存建筑物、场所消防用电设备应能充分满足消防用电的需要；并符合GBJ16第十章第一节的有关规定。</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5.3.2 化学危险品贮存区域或建筑物内输配电线路、灯具、火灾事故照明和疏散指示标志，都应符合安全要求。</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5.3.3 贮存易燃、易爆化学危险品的建筑，必须安装避雷设备。</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5.4 贮存场所通风或温度调节</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lastRenderedPageBreak/>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5.4.1 贮存化学危险品的建筑必须安装通风设备，并注意设备的防护措施。</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5.4.2 贮存化学危险品的建筑通排风系统应设有导除静电的接地装置。</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5.4.3 通风管应采用非燃烧材料制作。</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5.4.4 通风管道不宜穿过防火墙等防火分隔物，如必须穿过时应用非燃烧材料分隔。</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5.4.5 贮存化学危险品建筑采暖的热媒温度不应过高，热水采暖不应超过80</w:t>
                  </w:r>
                  <w:r w:rsidRPr="005D19F8">
                    <w:rPr>
                      <w:rFonts w:ascii="仿宋_GB2312" w:eastAsia="仿宋_GB2312" w:hAnsi="宋体" w:cs="宋体" w:hint="eastAsia"/>
                      <w:color w:val="333333"/>
                      <w:kern w:val="0"/>
                      <w:sz w:val="28"/>
                      <w:szCs w:val="28"/>
                    </w:rPr>
                    <w:t>℃</w:t>
                  </w:r>
                  <w:r w:rsidRPr="005D19F8">
                    <w:rPr>
                      <w:rFonts w:ascii="仿宋_GB2312" w:eastAsia="仿宋_GB2312" w:hAnsi="Tahoma" w:cs="Tahoma" w:hint="eastAsia"/>
                      <w:color w:val="333333"/>
                      <w:kern w:val="0"/>
                      <w:sz w:val="28"/>
                      <w:szCs w:val="28"/>
                    </w:rPr>
                    <w:t>，不得使用蒸汽采暖和机械采暖。</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5.4.6 采暖管道和设备的保温材料，必须采用非燃烧材料。</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6 贮存安排及贮存量限制</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6.1 化学危险品贮存安排取决于化学危险品分类、分项、容器类型、贮存方式和消防的要求。</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6.2 贮存量及贮存安排见表1。</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表1</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p>
                <w:tbl>
                  <w:tblPr>
                    <w:tblW w:w="6765"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044"/>
                    <w:gridCol w:w="1182"/>
                    <w:gridCol w:w="1254"/>
                    <w:gridCol w:w="1254"/>
                    <w:gridCol w:w="1031"/>
                  </w:tblGrid>
                  <w:tr w:rsidR="00210DFB" w:rsidRPr="005D19F8" w:rsidTr="00210D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贮存类别</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露天贮存</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隔离贮存</w:t>
                        </w:r>
                        <w:r w:rsidRPr="005D19F8">
                          <w:rPr>
                            <w:rFonts w:ascii="Tahoma" w:eastAsia="仿宋_GB2312" w:hAnsi="Tahoma" w:cs="Tahoma" w:hint="eastAsia"/>
                            <w:color w:val="333333"/>
                            <w:kern w:val="0"/>
                            <w:sz w:val="28"/>
                            <w:szCs w:val="28"/>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隔开贮存</w:t>
                        </w:r>
                        <w:r w:rsidRPr="005D19F8">
                          <w:rPr>
                            <w:rFonts w:ascii="Tahoma" w:eastAsia="仿宋_GB2312" w:hAnsi="Tahoma" w:cs="Tahoma" w:hint="eastAsia"/>
                            <w:color w:val="333333"/>
                            <w:kern w:val="0"/>
                            <w:sz w:val="28"/>
                            <w:szCs w:val="28"/>
                          </w:rPr>
                          <w:t> </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分离贮存</w:t>
                        </w:r>
                        <w:r w:rsidRPr="005D19F8">
                          <w:rPr>
                            <w:rFonts w:ascii="Tahoma" w:eastAsia="仿宋_GB2312" w:hAnsi="Tahoma" w:cs="Tahoma" w:hint="eastAsia"/>
                            <w:color w:val="333333"/>
                            <w:kern w:val="0"/>
                            <w:sz w:val="28"/>
                            <w:szCs w:val="28"/>
                          </w:rPr>
                          <w:t> </w:t>
                        </w:r>
                      </w:p>
                    </w:tc>
                  </w:tr>
                  <w:tr w:rsidR="00210DFB" w:rsidRPr="005D19F8" w:rsidTr="00210D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贮存要求</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jc w:val="left"/>
                          <w:rPr>
                            <w:rFonts w:ascii="仿宋_GB2312" w:eastAsia="仿宋_GB2312" w:hAnsi="Tahoma" w:cs="Tahoma" w:hint="eastAsia"/>
                            <w:color w:val="333333"/>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jc w:val="left"/>
                          <w:rPr>
                            <w:rFonts w:ascii="仿宋_GB2312" w:eastAsia="仿宋_GB2312" w:hAnsi="Tahoma" w:cs="Tahoma" w:hint="eastAsia"/>
                            <w:color w:val="333333"/>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jc w:val="left"/>
                          <w:rPr>
                            <w:rFonts w:ascii="仿宋_GB2312" w:eastAsia="仿宋_GB2312" w:hAnsi="Tahoma" w:cs="Tahoma" w:hint="eastAsia"/>
                            <w:color w:val="333333"/>
                            <w:kern w:val="0"/>
                            <w:sz w:val="28"/>
                            <w:szCs w:val="28"/>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jc w:val="left"/>
                          <w:rPr>
                            <w:rFonts w:ascii="仿宋_GB2312" w:eastAsia="仿宋_GB2312" w:hAnsi="Tahoma" w:cs="Tahoma" w:hint="eastAsia"/>
                            <w:color w:val="333333"/>
                            <w:kern w:val="0"/>
                            <w:sz w:val="28"/>
                            <w:szCs w:val="28"/>
                          </w:rPr>
                        </w:pPr>
                      </w:p>
                    </w:tc>
                  </w:tr>
                  <w:tr w:rsidR="00210DFB" w:rsidRPr="005D19F8" w:rsidTr="00210D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平均单位面积贮存量，t/m2</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1.0～1.5</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0.5</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0.7</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0.7</w:t>
                        </w:r>
                        <w:r w:rsidRPr="005D19F8">
                          <w:rPr>
                            <w:rFonts w:ascii="Tahoma" w:eastAsia="仿宋_GB2312" w:hAnsi="Tahoma" w:cs="Tahoma" w:hint="eastAsia"/>
                            <w:color w:val="333333"/>
                            <w:kern w:val="0"/>
                            <w:sz w:val="28"/>
                            <w:szCs w:val="28"/>
                          </w:rPr>
                          <w:t> </w:t>
                        </w:r>
                      </w:p>
                    </w:tc>
                  </w:tr>
                  <w:tr w:rsidR="00210DFB" w:rsidRPr="005D19F8" w:rsidTr="00210D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单一贮存区最大贮量，t</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2000～2400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200～300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200～300</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400～600</w:t>
                        </w:r>
                      </w:p>
                    </w:tc>
                  </w:tr>
                  <w:tr w:rsidR="00210DFB" w:rsidRPr="005D19F8" w:rsidTr="00210D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lastRenderedPageBreak/>
                          <w:t>垛距限制，m</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0.3～0.5</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0.3～0.5</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0.3～0.5</w:t>
                        </w:r>
                      </w:p>
                    </w:tc>
                  </w:tr>
                  <w:tr w:rsidR="00210DFB" w:rsidRPr="005D19F8" w:rsidTr="00210D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通道宽度，m</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5</w:t>
                        </w:r>
                      </w:p>
                    </w:tc>
                  </w:tr>
                  <w:tr w:rsidR="00210DFB" w:rsidRPr="005D19F8" w:rsidTr="00210D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墙距宽度，m</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0.3～0.5</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0.3～0.5</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0.3～0.5</w:t>
                        </w:r>
                      </w:p>
                    </w:tc>
                  </w:tr>
                  <w:tr w:rsidR="00210DFB" w:rsidRPr="005D19F8" w:rsidTr="00210DF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与禁忌品距离，m</w:t>
                        </w:r>
                        <w:r w:rsidRPr="005D19F8">
                          <w:rPr>
                            <w:rFonts w:ascii="Tahoma" w:eastAsia="仿宋_GB2312" w:hAnsi="Tahoma" w:cs="Tahoma" w:hint="eastAsia"/>
                            <w:color w:val="333333"/>
                            <w:kern w:val="0"/>
                            <w:sz w:val="28"/>
                            <w:szCs w:val="28"/>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不得同库贮存</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不得同库贮存</w:t>
                        </w:r>
                      </w:p>
                    </w:tc>
                    <w:tc>
                      <w:tcPr>
                        <w:tcW w:w="0" w:type="auto"/>
                        <w:tcBorders>
                          <w:top w:val="outset" w:sz="6" w:space="0" w:color="auto"/>
                          <w:left w:val="outset" w:sz="6" w:space="0" w:color="auto"/>
                          <w:bottom w:val="outset" w:sz="6" w:space="0" w:color="auto"/>
                          <w:right w:val="outset" w:sz="6" w:space="0" w:color="auto"/>
                        </w:tcBorders>
                        <w:vAlign w:val="center"/>
                        <w:hideMark/>
                      </w:tcPr>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t>7～10</w:t>
                        </w:r>
                      </w:p>
                    </w:tc>
                  </w:tr>
                </w:tbl>
                <w:p w:rsidR="00210DFB" w:rsidRPr="005D19F8" w:rsidRDefault="00210DFB" w:rsidP="00210DFB">
                  <w:pPr>
                    <w:widowControl/>
                    <w:spacing w:before="100" w:beforeAutospacing="1" w:after="100" w:afterAutospacing="1"/>
                    <w:jc w:val="left"/>
                    <w:rPr>
                      <w:rFonts w:ascii="仿宋_GB2312" w:eastAsia="仿宋_GB2312" w:hAnsi="Tahoma" w:cs="Tahoma" w:hint="eastAsia"/>
                      <w:color w:val="333333"/>
                      <w:kern w:val="0"/>
                      <w:sz w:val="28"/>
                      <w:szCs w:val="28"/>
                    </w:rPr>
                  </w:pP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6.3 遇火、遇热、遇潮能引起燃烧、爆炸或发生化学反应，产生有毒气体的化学危险品不得在露天或在潮湿、积水的建筑物中贮存。</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6.4 受日光照射能发生化学反应引起燃烧、爆炸、分解、化合或能产生有毒气体的化学危险品应贮存在一级建筑物中。其包装应采取避光措施。</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6.5 爆炸物品不准和其他类物品同贮，必须单独隔离限量贮存，仓库不准建在城镇，还应与周围建筑、交通干道、输电线路保持一定安全距离。</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6.6 压缩气体和液化气体必须与爆炸物品、氧化剂、易燃物品、自燃物品、腐蚀性物品隔离贮存。易燃气体不得与助燃气体、剧毒气体同贮；氧气不得与油脂混合贮存，盛装液化气体的容器属压力容器的，必须有压力表、安全阀、紧急切断装置，并定期检</w:t>
                  </w:r>
                  <w:r w:rsidRPr="005D19F8">
                    <w:rPr>
                      <w:rFonts w:ascii="仿宋_GB2312" w:eastAsia="仿宋_GB2312" w:hAnsi="Tahoma" w:cs="Tahoma" w:hint="eastAsia"/>
                      <w:color w:val="333333"/>
                      <w:kern w:val="0"/>
                      <w:sz w:val="28"/>
                      <w:szCs w:val="28"/>
                    </w:rPr>
                    <w:lastRenderedPageBreak/>
                    <w:t>查，不得超装。</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6.7 易燃液体、遇湿易燃物品、易燃固体不得与氧化剂混合贮存，具有还原性氧化剂应单独存放。</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6.8 有毒物品应贮存在阴凉、通风、干燥的场所，不要露天存放，不要接近酸类物质。</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6.9 腐蚀性物品，包装必须严密，不允许泄漏，严禁与液化气体和其他物品共存。</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7 化学危险品的养护</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7.1 化学危险品入库时，应严格检验物品质量、数量、包装情况、有无泄漏。</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7.2 化学危险品入库后应采取适当的养护措施，在贮存期内，定期检查，发现其品质变化、包装破损、渗漏、稳定剂短缺等，应及时处理。</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7.3 库房温度、湿度应严格控制、经常检查，发现变化及时调整。</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8 化学危险品出入库管理</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8.1 贮存化学危险品的仓库，必须建立严格的出入库管理制度。 8.2 化学危险品出入库前均应按合同进行检查验收、登记、验收内容包括：</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a.数量；</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b.包装；</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c.危险标志。 经核对后方可入库、出库，当物品性质未</w:t>
                  </w:r>
                  <w:r w:rsidRPr="005D19F8">
                    <w:rPr>
                      <w:rFonts w:ascii="仿宋_GB2312" w:eastAsia="仿宋_GB2312" w:hAnsi="Tahoma" w:cs="Tahoma" w:hint="eastAsia"/>
                      <w:color w:val="333333"/>
                      <w:kern w:val="0"/>
                      <w:sz w:val="28"/>
                      <w:szCs w:val="28"/>
                    </w:rPr>
                    <w:lastRenderedPageBreak/>
                    <w:t>弄清时不得入库。</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8.3 进入化学危险品贮存区域的人员、机动车辆和作业车辆，必须采取防火措施。</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8.4 装卸、搬运化学危险品时应按有关规定进行，做到轻装、轻卸。严禁摔、碰、撞、击、拖拉、倾倒和滚动。</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8.5 装卸对人身有毒害及腐蚀性的物品时，操作人员应根据危险性，穿戴相应的防护用品。</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8.6 不得用同一车辆运输互为禁忌的物料。</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8.7 修补、换装、清扫、装卸易燃、易爆物料时，应使用不产生火花的铜制、合金制或其他工具。</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9 消防措施</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9.1 根据危险品特性和仓库条件，必须配置相应的消防设备、设施和灭火药剂。并配备经过培训的兼职和专职的消防人员。</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9.2 贮存化学危险品建筑物内应根据仓库条件安装自动监测和火灾报警系统。</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9.3 贮存化学危险品的建筑物内，如条件允许，应安装灭火喷淋系统（遇水燃烧化学危险品，不可用水扑救的火灾除外），其喷淋强度和供水时间如下：喷淋强度 15 L /（min·m2）； 持续时间 90min。</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10 废弃物处理</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10.1 禁止在化学危险品贮存区域内堆积可燃废弃物品。</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10.2 泄漏或渗漏危险品的包装容器应迅速移至安全区域。</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lastRenderedPageBreak/>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10.3 按化学危险品特性，用化学的或物理的方法处理废弃物品，不得任意抛弃、污染环境。</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11 人员培训</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11.1 仓库工作人员应进行培训，经考核合格后持证上岗。</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11.2 对化学危险品的装卸人员进行必要的教育，使其按照有关规定进行操作。</w:t>
                  </w:r>
                  <w:r w:rsidRPr="005D19F8">
                    <w:rPr>
                      <w:rFonts w:ascii="仿宋_GB2312" w:eastAsia="仿宋_GB2312" w:hAnsi="Tahoma" w:cs="Tahoma" w:hint="eastAsia"/>
                      <w:color w:val="333333"/>
                      <w:kern w:val="0"/>
                      <w:sz w:val="28"/>
                      <w:szCs w:val="28"/>
                    </w:rPr>
                    <w:br/>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11.3</w:t>
                  </w:r>
                  <w:r w:rsidRPr="005D19F8">
                    <w:rPr>
                      <w:rFonts w:ascii="Tahoma" w:eastAsia="仿宋_GB2312" w:hAnsi="Tahoma" w:cs="Tahoma" w:hint="eastAsia"/>
                      <w:color w:val="333333"/>
                      <w:kern w:val="0"/>
                      <w:sz w:val="28"/>
                      <w:szCs w:val="28"/>
                    </w:rPr>
                    <w:t> </w:t>
                  </w:r>
                  <w:r w:rsidRPr="005D19F8">
                    <w:rPr>
                      <w:rFonts w:ascii="仿宋_GB2312" w:eastAsia="仿宋_GB2312" w:hAnsi="Tahoma" w:cs="Tahoma" w:hint="eastAsia"/>
                      <w:color w:val="333333"/>
                      <w:kern w:val="0"/>
                      <w:sz w:val="28"/>
                      <w:szCs w:val="28"/>
                    </w:rPr>
                    <w:t xml:space="preserve"> 仓库的消防人员除了具有一般消防知识之外，还应进行在危险品库工作的专门培训，使其熟悉各区域贮存的化学危险品种类、特性、贮存地点、事故的处理程序及方法。</w:t>
                  </w:r>
                </w:p>
              </w:tc>
            </w:tr>
          </w:tbl>
          <w:p w:rsidR="00210DFB" w:rsidRPr="005D19F8" w:rsidRDefault="00210DFB" w:rsidP="00210DFB">
            <w:pPr>
              <w:widowControl/>
              <w:jc w:val="left"/>
              <w:rPr>
                <w:rFonts w:ascii="仿宋_GB2312" w:eastAsia="仿宋_GB2312" w:hAnsi="Tahoma" w:cs="Tahoma" w:hint="eastAsia"/>
                <w:color w:val="333333"/>
                <w:kern w:val="0"/>
                <w:sz w:val="28"/>
                <w:szCs w:val="28"/>
              </w:rPr>
            </w:pPr>
          </w:p>
        </w:tc>
      </w:tr>
    </w:tbl>
    <w:p w:rsidR="00AA3C73" w:rsidRPr="005D19F8" w:rsidRDefault="00AA3C73">
      <w:pPr>
        <w:rPr>
          <w:rFonts w:ascii="仿宋_GB2312" w:eastAsia="仿宋_GB2312" w:hint="eastAsia"/>
          <w:sz w:val="28"/>
          <w:szCs w:val="28"/>
        </w:rPr>
      </w:pPr>
    </w:p>
    <w:sectPr w:rsidR="00AA3C73" w:rsidRPr="005D19F8" w:rsidSect="00AA3C7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10DFB"/>
    <w:rsid w:val="00210DFB"/>
    <w:rsid w:val="005D19F8"/>
    <w:rsid w:val="00AA3C73"/>
    <w:rsid w:val="00D060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C73"/>
    <w:pPr>
      <w:widowControl w:val="0"/>
      <w:jc w:val="both"/>
    </w:pPr>
  </w:style>
  <w:style w:type="paragraph" w:styleId="1">
    <w:name w:val="heading 1"/>
    <w:basedOn w:val="a"/>
    <w:link w:val="1Char"/>
    <w:uiPriority w:val="9"/>
    <w:qFormat/>
    <w:rsid w:val="00210D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10DFB"/>
    <w:rPr>
      <w:rFonts w:ascii="宋体" w:eastAsia="宋体" w:hAnsi="宋体" w:cs="宋体"/>
      <w:b/>
      <w:bCs/>
      <w:kern w:val="36"/>
      <w:sz w:val="48"/>
      <w:szCs w:val="48"/>
    </w:rPr>
  </w:style>
  <w:style w:type="character" w:styleId="a3">
    <w:name w:val="Hyperlink"/>
    <w:basedOn w:val="a0"/>
    <w:uiPriority w:val="99"/>
    <w:semiHidden/>
    <w:unhideWhenUsed/>
    <w:rsid w:val="00210DFB"/>
    <w:rPr>
      <w:strike w:val="0"/>
      <w:dstrike w:val="0"/>
      <w:color w:val="184C7E"/>
      <w:u w:val="none"/>
      <w:effect w:val="none"/>
    </w:rPr>
  </w:style>
  <w:style w:type="paragraph" w:styleId="a4">
    <w:name w:val="Normal (Web)"/>
    <w:basedOn w:val="a"/>
    <w:uiPriority w:val="99"/>
    <w:unhideWhenUsed/>
    <w:rsid w:val="00210DF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721683061">
      <w:bodyDiv w:val="1"/>
      <w:marLeft w:val="0"/>
      <w:marRight w:val="0"/>
      <w:marTop w:val="0"/>
      <w:marBottom w:val="0"/>
      <w:divBdr>
        <w:top w:val="none" w:sz="0" w:space="0" w:color="auto"/>
        <w:left w:val="none" w:sz="0" w:space="0" w:color="auto"/>
        <w:bottom w:val="none" w:sz="0" w:space="0" w:color="auto"/>
        <w:right w:val="none" w:sz="0" w:space="0" w:color="auto"/>
      </w:divBdr>
      <w:divsChild>
        <w:div w:id="1658142362">
          <w:marLeft w:val="0"/>
          <w:marRight w:val="0"/>
          <w:marTop w:val="0"/>
          <w:marBottom w:val="0"/>
          <w:divBdr>
            <w:top w:val="none" w:sz="0" w:space="0" w:color="auto"/>
            <w:left w:val="none" w:sz="0" w:space="0" w:color="auto"/>
            <w:bottom w:val="none" w:sz="0" w:space="0" w:color="auto"/>
            <w:right w:val="none" w:sz="0" w:space="0" w:color="auto"/>
          </w:divBdr>
          <w:divsChild>
            <w:div w:id="58215008">
              <w:marLeft w:val="0"/>
              <w:marRight w:val="0"/>
              <w:marTop w:val="0"/>
              <w:marBottom w:val="136"/>
              <w:divBdr>
                <w:top w:val="none" w:sz="0" w:space="0" w:color="auto"/>
                <w:left w:val="none" w:sz="0" w:space="0" w:color="auto"/>
                <w:bottom w:val="none" w:sz="0" w:space="0" w:color="auto"/>
                <w:right w:val="none" w:sz="0" w:space="0" w:color="auto"/>
              </w:divBdr>
              <w:divsChild>
                <w:div w:id="1731999598">
                  <w:marLeft w:val="0"/>
                  <w:marRight w:val="0"/>
                  <w:marTop w:val="0"/>
                  <w:marBottom w:val="0"/>
                  <w:divBdr>
                    <w:top w:val="none" w:sz="0" w:space="0" w:color="auto"/>
                    <w:left w:val="none" w:sz="0" w:space="0" w:color="auto"/>
                    <w:bottom w:val="none" w:sz="0" w:space="0" w:color="auto"/>
                    <w:right w:val="none" w:sz="0" w:space="0" w:color="auto"/>
                  </w:divBdr>
                  <w:divsChild>
                    <w:div w:id="1752241666">
                      <w:marLeft w:val="0"/>
                      <w:marRight w:val="0"/>
                      <w:marTop w:val="0"/>
                      <w:marBottom w:val="0"/>
                      <w:divBdr>
                        <w:top w:val="none" w:sz="0" w:space="0" w:color="auto"/>
                        <w:left w:val="none" w:sz="0" w:space="0" w:color="auto"/>
                        <w:bottom w:val="none" w:sz="0" w:space="0" w:color="auto"/>
                        <w:right w:val="none" w:sz="0" w:space="0" w:color="auto"/>
                      </w:divBdr>
                      <w:divsChild>
                        <w:div w:id="202135471">
                          <w:marLeft w:val="0"/>
                          <w:marRight w:val="0"/>
                          <w:marTop w:val="0"/>
                          <w:marBottom w:val="0"/>
                          <w:divBdr>
                            <w:top w:val="none" w:sz="0" w:space="0" w:color="auto"/>
                            <w:left w:val="none" w:sz="0" w:space="0" w:color="auto"/>
                            <w:bottom w:val="none" w:sz="0" w:space="0" w:color="auto"/>
                            <w:right w:val="none" w:sz="0" w:space="0" w:color="auto"/>
                          </w:divBdr>
                          <w:divsChild>
                            <w:div w:id="1644503042">
                              <w:marLeft w:val="0"/>
                              <w:marRight w:val="0"/>
                              <w:marTop w:val="272"/>
                              <w:marBottom w:val="272"/>
                              <w:divBdr>
                                <w:top w:val="none" w:sz="0" w:space="0" w:color="auto"/>
                                <w:left w:val="none" w:sz="0" w:space="0" w:color="auto"/>
                                <w:bottom w:val="none" w:sz="0" w:space="0" w:color="auto"/>
                                <w:right w:val="none" w:sz="0" w:space="0" w:color="auto"/>
                              </w:divBdr>
                              <w:divsChild>
                                <w:div w:id="887061151">
                                  <w:marLeft w:val="0"/>
                                  <w:marRight w:val="0"/>
                                  <w:marTop w:val="0"/>
                                  <w:marBottom w:val="0"/>
                                  <w:divBdr>
                                    <w:top w:val="none" w:sz="0" w:space="0" w:color="auto"/>
                                    <w:left w:val="none" w:sz="0" w:space="0" w:color="auto"/>
                                    <w:bottom w:val="none" w:sz="0" w:space="0" w:color="auto"/>
                                    <w:right w:val="none" w:sz="0" w:space="0" w:color="auto"/>
                                  </w:divBdr>
                                  <w:divsChild>
                                    <w:div w:id="177027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548</Words>
  <Characters>3127</Characters>
  <Application>Microsoft Office Word</Application>
  <DocSecurity>0</DocSecurity>
  <Lines>26</Lines>
  <Paragraphs>7</Paragraphs>
  <ScaleCrop>false</ScaleCrop>
  <Company>Sky123.Org</Company>
  <LinksUpToDate>false</LinksUpToDate>
  <CharactersWithSpaces>3668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2016-04-14T01:28:00Z</dcterms:created>
  <dcterms:modified xsi:type="dcterms:W3CDTF">2018-12-28T07:06:00Z</dcterms:modified>
</cp:coreProperties>
</file>