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简体" w:hAnsi="Calibri" w:eastAsia="方正仿宋简体" w:cs="Times New Roman"/>
          <w:sz w:val="34"/>
          <w:szCs w:val="34"/>
        </w:rPr>
      </w:pPr>
    </w:p>
    <w:p>
      <w:pPr>
        <w:spacing w:line="600" w:lineRule="exact"/>
        <w:rPr>
          <w:rFonts w:ascii="方正黑体简体" w:hAnsi="Calibri" w:eastAsia="方正黑体简体" w:cs="Times New Roman"/>
          <w:sz w:val="34"/>
          <w:szCs w:val="34"/>
        </w:rPr>
      </w:pPr>
      <w:r>
        <w:rPr>
          <w:rFonts w:hint="eastAsia" w:ascii="方正黑体简体" w:hAnsi="Calibri" w:eastAsia="方正黑体简体" w:cs="Times New Roman"/>
          <w:sz w:val="34"/>
          <w:szCs w:val="34"/>
        </w:rPr>
        <w:t>附件1</w:t>
      </w:r>
      <w:r>
        <w:rPr>
          <w:rFonts w:hint="eastAsia" w:ascii="方正黑体简体" w:hAnsi="Calibri" w:eastAsia="方正黑体简体" w:cs="Times New Roman"/>
          <w:sz w:val="34"/>
          <w:szCs w:val="34"/>
          <w:lang w:val="en-US" w:eastAsia="zh-CN"/>
        </w:rPr>
        <w:t>-1</w:t>
      </w:r>
      <w:bookmarkStart w:id="0" w:name="_GoBack"/>
      <w:bookmarkEnd w:id="0"/>
      <w:r>
        <w:rPr>
          <w:rFonts w:hint="eastAsia" w:ascii="方正黑体简体" w:hAnsi="Calibri" w:eastAsia="方正黑体简体" w:cs="Times New Roman"/>
          <w:sz w:val="34"/>
          <w:szCs w:val="34"/>
        </w:rPr>
        <w:t xml:space="preserve">：       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《食品经营许可证》办理指南</w:t>
      </w:r>
    </w:p>
    <w:p>
      <w:pPr>
        <w:spacing w:line="600" w:lineRule="exact"/>
        <w:ind w:firstLine="680" w:firstLineChars="200"/>
        <w:rPr>
          <w:rFonts w:ascii="方正仿宋简体" w:hAnsi="黑体" w:eastAsia="方正仿宋简体" w:cs="Times New Roman"/>
          <w:sz w:val="34"/>
          <w:szCs w:val="34"/>
        </w:rPr>
      </w:pPr>
    </w:p>
    <w:p>
      <w:pPr>
        <w:spacing w:line="600" w:lineRule="exact"/>
        <w:ind w:firstLine="680" w:firstLineChars="200"/>
        <w:rPr>
          <w:rFonts w:ascii="方正黑体简体" w:hAnsi="黑体" w:eastAsia="方正黑体简体" w:cs="Times New Roman"/>
          <w:sz w:val="34"/>
          <w:szCs w:val="34"/>
        </w:rPr>
      </w:pPr>
      <w:r>
        <w:rPr>
          <w:rFonts w:hint="eastAsia" w:ascii="方正黑体简体" w:hAnsi="黑体" w:eastAsia="方正黑体简体" w:cs="Times New Roman"/>
          <w:sz w:val="34"/>
          <w:szCs w:val="34"/>
        </w:rPr>
        <w:t>一、办理地点</w:t>
      </w:r>
    </w:p>
    <w:p>
      <w:pPr>
        <w:spacing w:line="600" w:lineRule="exact"/>
        <w:ind w:firstLine="680" w:firstLineChars="200"/>
        <w:rPr>
          <w:rFonts w:ascii="方正仿宋简体" w:hAnsi="宋体" w:eastAsia="方正仿宋简体" w:cs="Times New Roman"/>
          <w:sz w:val="34"/>
          <w:szCs w:val="34"/>
        </w:rPr>
      </w:pPr>
      <w:r>
        <w:rPr>
          <w:rFonts w:hint="eastAsia" w:ascii="方正仿宋简体" w:hAnsi="宋体" w:eastAsia="方正仿宋简体" w:cs="Times New Roman"/>
          <w:sz w:val="34"/>
          <w:szCs w:val="34"/>
        </w:rPr>
        <w:t>本辖区所在地的市场监管所均可办理。</w:t>
      </w:r>
    </w:p>
    <w:p>
      <w:pPr>
        <w:spacing w:line="600" w:lineRule="exact"/>
        <w:ind w:firstLine="680" w:firstLineChars="200"/>
        <w:rPr>
          <w:rFonts w:ascii="方正黑体简体" w:hAnsi="黑体" w:eastAsia="方正黑体简体" w:cs="Times New Roman"/>
          <w:sz w:val="34"/>
          <w:szCs w:val="34"/>
        </w:rPr>
      </w:pPr>
      <w:r>
        <w:rPr>
          <w:rFonts w:hint="eastAsia" w:ascii="方正黑体简体" w:hAnsi="黑体" w:eastAsia="方正黑体简体" w:cs="Times New Roman"/>
          <w:sz w:val="34"/>
          <w:szCs w:val="34"/>
        </w:rPr>
        <w:t>二、办理流程</w:t>
      </w:r>
    </w:p>
    <w:p>
      <w:pPr>
        <w:spacing w:line="600" w:lineRule="exact"/>
        <w:ind w:firstLine="680" w:firstLineChars="200"/>
        <w:rPr>
          <w:rFonts w:ascii="方正仿宋简体" w:hAnsi="宋体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Calibri" w:eastAsia="方正仿宋简体" w:cs="Times New Roman"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231140</wp:posOffset>
                </wp:positionV>
                <wp:extent cx="457200" cy="0"/>
                <wp:effectExtent l="6350" t="58420" r="22225" b="558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6.85pt;margin-top:18.2pt;height:0pt;width:36pt;z-index:251661312;mso-width-relative:page;mso-height-relative:page;" filled="f" stroked="t" coordsize="21600,21600" o:gfxdata="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K1R1tkAAAAJ&#10;AQAADwAAAAAAAAABACAAAAAiAAAAZHJzL2Rvd25yZXYueG1sUEsBAhQAFAAAAAgAh07iQHZLA83i&#10;AQAAiQMAAA4AAAAAAAAAAQAgAAAAKA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Calibri" w:eastAsia="方正仿宋简体" w:cs="Times New Roman"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221615</wp:posOffset>
                </wp:positionV>
                <wp:extent cx="457200" cy="0"/>
                <wp:effectExtent l="6350" t="58420" r="22225" b="558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5.85pt;margin-top:17.45pt;height:0pt;width:36pt;z-index:251660288;mso-width-relative:page;mso-height-relative:page;" filled="f" stroked="t" coordsize="21600,21600" o:gfxdata="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o3C42QAAAAkB&#10;AAAPAAAAAAAAAAEAIAAAACIAAABkcnMvZG93bnJldi54bWxQSwECFAAUAAAACACHTuJAyhlBtuEB&#10;AACJ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Calibri" w:eastAsia="方正仿宋简体" w:cs="Times New Roman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236855</wp:posOffset>
                </wp:positionV>
                <wp:extent cx="457200" cy="0"/>
                <wp:effectExtent l="6350" t="54610" r="22225" b="596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6pt;margin-top:18.65pt;height:0pt;width:36pt;z-index:251659264;mso-width-relative:page;mso-height-relative:page;" filled="f" stroked="t" coordsize="21600,21600" o:gfxdata="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fV9PtkAAAAJAQAA&#10;DwAAAAAAAAABACAAAAAiAAAAZHJzL2Rvd25yZXYueG1sUEsBAhQAFAAAAAgAh07iQA7uhzvfAQAA&#10;iQ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许可申请      受理（书式审查）     现场核查     审批发证。</w:t>
      </w:r>
    </w:p>
    <w:p>
      <w:pPr>
        <w:spacing w:line="600" w:lineRule="exact"/>
        <w:ind w:firstLine="680" w:firstLineChars="200"/>
        <w:rPr>
          <w:rFonts w:ascii="方正黑体简体" w:hAnsi="黑体" w:eastAsia="方正黑体简体" w:cs="Times New Roman"/>
          <w:sz w:val="34"/>
          <w:szCs w:val="34"/>
        </w:rPr>
      </w:pPr>
      <w:r>
        <w:rPr>
          <w:rFonts w:hint="eastAsia" w:ascii="方正黑体简体" w:hAnsi="黑体" w:eastAsia="方正黑体简体" w:cs="Times New Roman"/>
          <w:sz w:val="34"/>
          <w:szCs w:val="34"/>
        </w:rPr>
        <w:t>三、提交的材料</w:t>
      </w:r>
    </w:p>
    <w:p>
      <w:pPr>
        <w:spacing w:line="600" w:lineRule="exact"/>
        <w:ind w:firstLine="680" w:firstLineChars="200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（一）食品经营许可申请书；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 xml:space="preserve">    （二）营业执照复印件或者其他主体资格证明文件复印件（机关、事业单位、社会团体、民办非企业单位等申办单位食堂的，应提交机关或者事业单位法人登记证、社会团体登记证等有关主体资格证明文件复印件）；</w:t>
      </w:r>
    </w:p>
    <w:p>
      <w:pPr>
        <w:autoSpaceDE w:val="0"/>
        <w:autoSpaceDN w:val="0"/>
        <w:adjustRightInd w:val="0"/>
        <w:spacing w:line="600" w:lineRule="exact"/>
        <w:ind w:firstLine="680" w:firstLineChars="200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（三）与食品经营相适应的主要设备设施布局图(空间布局应当体现出食品与非食品、散装食品与预包装食品进行明确的分区)和操作流程等文件；</w:t>
      </w:r>
    </w:p>
    <w:p>
      <w:pPr>
        <w:autoSpaceDE w:val="0"/>
        <w:autoSpaceDN w:val="0"/>
        <w:adjustRightInd w:val="0"/>
        <w:spacing w:line="600" w:lineRule="exact"/>
        <w:ind w:firstLine="680" w:firstLineChars="200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（四）食品安全自查与报告、从业人员健康管理、进货查验记录、食品安全事故处置等保证食品安全的规章制度；</w:t>
      </w:r>
    </w:p>
    <w:p>
      <w:pPr>
        <w:autoSpaceDE w:val="0"/>
        <w:autoSpaceDN w:val="0"/>
        <w:adjustRightInd w:val="0"/>
        <w:spacing w:line="600" w:lineRule="exact"/>
        <w:ind w:firstLine="680" w:firstLineChars="200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（五）申请人委托他人办理食品经营许可申请的，代理人应当提交授权委托书以及代理人的身份证明文件。申请材料为复印件的，申请人应在提交的复印件上注明“提交复印件与原件一致”，并签名或者盖章。</w:t>
      </w:r>
    </w:p>
    <w:p>
      <w:pPr>
        <w:spacing w:line="600" w:lineRule="exact"/>
        <w:rPr>
          <w:rFonts w:ascii="方正仿宋简体" w:hAnsi="Calibri" w:eastAsia="方正仿宋简体" w:cs="Times New Roman"/>
          <w:sz w:val="34"/>
          <w:szCs w:val="34"/>
        </w:rPr>
      </w:pPr>
      <w:r>
        <w:rPr>
          <w:rFonts w:hint="eastAsia" w:ascii="方正仿宋简体" w:hAnsi="黑体" w:eastAsia="方正仿宋简体" w:cs="Times New Roman"/>
          <w:sz w:val="34"/>
          <w:szCs w:val="34"/>
        </w:rPr>
        <w:t xml:space="preserve">     </w:t>
      </w:r>
      <w:r>
        <w:rPr>
          <w:rFonts w:hint="eastAsia" w:ascii="方正仿宋简体" w:hAnsi="宋体" w:eastAsia="方正仿宋简体" w:cs="Times New Roman"/>
          <w:sz w:val="34"/>
          <w:szCs w:val="34"/>
        </w:rPr>
        <w:t>（六）管理制度模板（见</w:t>
      </w:r>
      <w:r>
        <w:rPr>
          <w:rFonts w:ascii="方正仿宋简体" w:hAnsi="宋体" w:eastAsia="方正仿宋简体" w:cs="Times New Roman"/>
          <w:sz w:val="34"/>
          <w:szCs w:val="34"/>
        </w:rPr>
        <w:t>附件</w:t>
      </w:r>
      <w:r>
        <w:rPr>
          <w:rFonts w:hint="eastAsia" w:ascii="方正仿宋简体" w:hAnsi="宋体" w:eastAsia="方正仿宋简体" w:cs="Times New Roman"/>
          <w:sz w:val="34"/>
          <w:szCs w:val="34"/>
        </w:rPr>
        <w:t>2）。</w:t>
      </w:r>
    </w:p>
    <w:p>
      <w:pPr>
        <w:spacing w:line="600" w:lineRule="exact"/>
        <w:ind w:firstLine="680" w:firstLineChars="200"/>
        <w:rPr>
          <w:rFonts w:ascii="方正黑体简体" w:hAnsi="黑体" w:eastAsia="方正黑体简体" w:cs="Times New Roman"/>
          <w:sz w:val="34"/>
          <w:szCs w:val="34"/>
        </w:rPr>
      </w:pPr>
      <w:r>
        <w:rPr>
          <w:rFonts w:hint="eastAsia" w:ascii="方正黑体简体" w:hAnsi="黑体" w:eastAsia="方正黑体简体" w:cs="Times New Roman"/>
          <w:sz w:val="34"/>
          <w:szCs w:val="34"/>
        </w:rPr>
        <w:t>四、硬件设施要求</w:t>
      </w:r>
    </w:p>
    <w:p>
      <w:pPr>
        <w:spacing w:line="600" w:lineRule="exact"/>
        <w:rPr>
          <w:rFonts w:ascii="方正仿宋简体" w:hAnsi="Calibri" w:eastAsia="方正仿宋简体" w:cs="Times New Roman"/>
          <w:sz w:val="34"/>
          <w:szCs w:val="34"/>
        </w:rPr>
      </w:pPr>
      <w:r>
        <w:rPr>
          <w:rFonts w:hint="eastAsia" w:ascii="方正仿宋简体" w:hAnsi="黑体" w:eastAsia="方正仿宋简体" w:cs="Times New Roman"/>
          <w:sz w:val="34"/>
          <w:szCs w:val="34"/>
        </w:rPr>
        <w:t xml:space="preserve">   </w:t>
      </w:r>
      <w:r>
        <w:rPr>
          <w:rFonts w:hint="eastAsia" w:ascii="方正仿宋简体" w:hAnsi="宋体" w:eastAsia="方正仿宋简体" w:cs="Times New Roman"/>
          <w:sz w:val="34"/>
          <w:szCs w:val="34"/>
        </w:rPr>
        <w:t xml:space="preserve"> </w:t>
      </w: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（一）具有与经营的食品品种、数量相适应的食品原料处理和食品加工、销售、贮存等场所，保持该场所环境整洁，并与有毒、有害场所以及其他污染源保持规定的距离。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  <w:lang w:val="zh-CN"/>
        </w:rPr>
        <w:t>加工经营场所面积比例，根据经营品种、数量及食品安全风险高低等因素确定，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</w:rPr>
        <w:t>单位食堂食品处理区面积不小于30</w:t>
      </w:r>
      <w:r>
        <w:rPr>
          <w:rFonts w:hint="eastAsia" w:ascii="方正仿宋简体" w:hAnsi="宋体" w:eastAsia="方正仿宋简体" w:cs="Times New Roman"/>
          <w:color w:val="000000"/>
          <w:kern w:val="0"/>
          <w:sz w:val="34"/>
          <w:szCs w:val="34"/>
        </w:rPr>
        <w:t>平方米，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</w:rPr>
        <w:t>集中备餐的食堂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  <w:lang w:val="zh-CN"/>
        </w:rPr>
        <w:t>应当设专用操作场所。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　　（二）具有与经营的食品品种、数量相适应的经营设备或者设施，有相应的消毒、更衣、盥洗、采光、照明、通风、防腐、防尘、防蝇、防鼠、防虫、洗涤以及处理废水、存放垃圾和废弃物的设备或者设施；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  <w:lang w:val="zh-CN"/>
        </w:rPr>
        <w:t>单位食堂应当配备留样专用容器和冷藏设施，以及留样管理人员。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　　（三）有专职的食品安全管理人员和保证食品安全的规章制度。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　　（四）具有合理的设备布局和工艺流程，防止待加工食品与直接入口食品、原料与成品交叉污染，避免食品接触有毒物、不洁物。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 xml:space="preserve">    （五）</w:t>
      </w:r>
      <w:r>
        <w:rPr>
          <w:rFonts w:hint="eastAsia" w:ascii="方正仿宋简体" w:hAnsi="宋体" w:eastAsia="方正仿宋简体" w:cs="宋体"/>
          <w:kern w:val="0"/>
          <w:sz w:val="34"/>
          <w:szCs w:val="34"/>
          <w:lang w:val="zh-CN"/>
        </w:rPr>
        <w:t>冷食类食品、生食类食品及裱花蛋糕等应当分别设立相应的制作专间。</w:t>
      </w:r>
      <w:r>
        <w:rPr>
          <w:rFonts w:hint="eastAsia" w:ascii="方正仿宋简体" w:hAnsi="宋体" w:eastAsia="方正仿宋简体" w:cs="Times New Roman"/>
          <w:sz w:val="34"/>
          <w:szCs w:val="34"/>
        </w:rPr>
        <w:t>鲜榨果蔬汁、冷饮乳饮品和蔬果拼盘，需设置专用操作场所。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  <w:lang w:val="zh-CN"/>
        </w:rPr>
        <w:t>更衣场所与加工经营场所应当处于同一建筑内，食品处理区内不得设置厕所。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方正仿宋简体" w:hAnsi="Calibri" w:eastAsia="方正仿宋简体" w:cs="宋体"/>
          <w:color w:val="000000"/>
          <w:kern w:val="0"/>
          <w:sz w:val="34"/>
          <w:szCs w:val="34"/>
          <w:lang w:val="zh-CN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 xml:space="preserve">    （六）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  <w:lang w:val="zh-CN"/>
        </w:rPr>
        <w:t>使用直接接触食品的设备、工具、容器、包装材料及一次性餐饮应当具有产品合格证明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</w:rPr>
        <w:t>。</w:t>
      </w: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  <w:lang w:val="zh-CN"/>
        </w:rPr>
        <w:t>用水应当符合国家规定的生活饮用水卫生标准。</w:t>
      </w:r>
    </w:p>
    <w:p>
      <w:pPr>
        <w:autoSpaceDE w:val="0"/>
        <w:autoSpaceDN w:val="0"/>
        <w:adjustRightInd w:val="0"/>
        <w:spacing w:line="600" w:lineRule="exact"/>
        <w:jc w:val="left"/>
        <w:rPr>
          <w:rFonts w:ascii="方正仿宋简体" w:hAnsi="Calibri" w:eastAsia="方正仿宋简体" w:cs="Times New Roman"/>
          <w:kern w:val="0"/>
          <w:sz w:val="34"/>
          <w:szCs w:val="34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4"/>
          <w:szCs w:val="34"/>
          <w:lang w:val="zh-CN"/>
        </w:rPr>
        <w:t xml:space="preserve">    （七）操作过程符合国家市场总局《餐饮服务操作规范》（可上网下载），以及</w:t>
      </w: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法律法规规定的其他条件。</w:t>
      </w:r>
    </w:p>
    <w:p>
      <w:pPr>
        <w:spacing w:line="600" w:lineRule="exact"/>
        <w:ind w:firstLine="680" w:firstLineChars="200"/>
        <w:rPr>
          <w:rFonts w:ascii="方正黑体简体" w:hAnsi="黑体" w:eastAsia="方正黑体简体" w:cs="Times New Roman"/>
          <w:sz w:val="34"/>
          <w:szCs w:val="34"/>
        </w:rPr>
      </w:pPr>
      <w:r>
        <w:rPr>
          <w:rFonts w:hint="eastAsia" w:ascii="方正黑体简体" w:hAnsi="黑体" w:eastAsia="方正黑体简体" w:cs="Times New Roman"/>
          <w:sz w:val="34"/>
          <w:szCs w:val="34"/>
        </w:rPr>
        <w:t>五、咨询电话</w:t>
      </w:r>
    </w:p>
    <w:p>
      <w:pPr>
        <w:spacing w:line="600" w:lineRule="exact"/>
        <w:ind w:firstLine="680" w:firstLineChars="200"/>
        <w:rPr>
          <w:rFonts w:ascii="方正黑体简体" w:hAnsi="黑体" w:eastAsia="方正黑体简体" w:cs="Times New Roman"/>
          <w:sz w:val="34"/>
          <w:szCs w:val="34"/>
        </w:rPr>
      </w:pPr>
      <w:r>
        <w:rPr>
          <w:rFonts w:hint="eastAsia" w:ascii="方正仿宋简体" w:hAnsi="宋体" w:eastAsia="方正仿宋简体" w:cs="Times New Roman"/>
          <w:kern w:val="0"/>
          <w:sz w:val="34"/>
          <w:szCs w:val="34"/>
        </w:rPr>
        <w:t>武清区市场监管局022-29587945，或拨打本辖区市场监管所电话。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854" w:h="509" w:hRule="exact" w:wrap="around" w:vAnchor="text" w:hAnchor="margin" w:xAlign="center" w:y="5"/>
      <w:rPr>
        <w:rStyle w:val="5"/>
        <w:rFonts w:ascii="方正仿宋简体" w:eastAsia="方正仿宋简体"/>
        <w:sz w:val="28"/>
        <w:szCs w:val="28"/>
      </w:rPr>
    </w:pPr>
    <w:r>
      <w:rPr>
        <w:rStyle w:val="5"/>
        <w:rFonts w:hint="eastAsia" w:ascii="方正仿宋简体" w:eastAsia="方正仿宋简体"/>
        <w:sz w:val="28"/>
        <w:szCs w:val="28"/>
      </w:rPr>
      <w:t>—</w:t>
    </w:r>
    <w:r>
      <w:rPr>
        <w:rStyle w:val="5"/>
        <w:rFonts w:hint="eastAsia" w:ascii="方正仿宋简体" w:eastAsia="方正仿宋简体"/>
        <w:sz w:val="28"/>
        <w:szCs w:val="28"/>
      </w:rPr>
      <w:fldChar w:fldCharType="begin"/>
    </w:r>
    <w:r>
      <w:rPr>
        <w:rStyle w:val="5"/>
        <w:rFonts w:hint="eastAsia" w:ascii="方正仿宋简体" w:eastAsia="方正仿宋简体"/>
        <w:sz w:val="28"/>
        <w:szCs w:val="28"/>
      </w:rPr>
      <w:instrText xml:space="preserve">PAGE  </w:instrText>
    </w:r>
    <w:r>
      <w:rPr>
        <w:rStyle w:val="5"/>
        <w:rFonts w:hint="eastAsia" w:ascii="方正仿宋简体" w:eastAsia="方正仿宋简体"/>
        <w:sz w:val="28"/>
        <w:szCs w:val="28"/>
      </w:rPr>
      <w:fldChar w:fldCharType="separate"/>
    </w:r>
    <w:r>
      <w:rPr>
        <w:rStyle w:val="5"/>
        <w:rFonts w:ascii="方正仿宋简体" w:eastAsia="方正仿宋简体"/>
        <w:sz w:val="28"/>
        <w:szCs w:val="28"/>
      </w:rPr>
      <w:t>3</w:t>
    </w:r>
    <w:r>
      <w:rPr>
        <w:rStyle w:val="5"/>
        <w:rFonts w:hint="eastAsia" w:ascii="方正仿宋简体" w:eastAsia="方正仿宋简体"/>
        <w:sz w:val="28"/>
        <w:szCs w:val="28"/>
      </w:rPr>
      <w:fldChar w:fldCharType="end"/>
    </w:r>
    <w:r>
      <w:rPr>
        <w:rStyle w:val="5"/>
        <w:rFonts w:hint="eastAsia" w:ascii="方正仿宋简体" w:eastAsia="方正仿宋简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F1"/>
    <w:rsid w:val="005609F1"/>
    <w:rsid w:val="006C59D4"/>
    <w:rsid w:val="007366A8"/>
    <w:rsid w:val="009016AF"/>
    <w:rsid w:val="00CC0856"/>
    <w:rsid w:val="00EA02DD"/>
    <w:rsid w:val="2A86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</Words>
  <Characters>931</Characters>
  <Lines>7</Lines>
  <Paragraphs>2</Paragraphs>
  <TotalTime>1</TotalTime>
  <ScaleCrop>false</ScaleCrop>
  <LinksUpToDate>false</LinksUpToDate>
  <CharactersWithSpaces>1092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2018-09-12T09:23:00Z</dcterms:created>
  <dc:creator>null</dc:creator>
  <cp:lastModifiedBy>lenovo</cp:lastModifiedBy>
  <dcterms:modified xsi:type="dcterms:W3CDTF">2018-09-21T08:36:34Z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