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C4" w:rsidRDefault="00E678CD">
      <w:pPr>
        <w:widowControl/>
        <w:textAlignment w:val="center"/>
        <w:rPr>
          <w:rFonts w:ascii="方正小标宋简体" w:eastAsia="方正小标宋简体" w:hAnsi="黑体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附件3：</w:t>
      </w:r>
    </w:p>
    <w:p w:rsidR="006857C4" w:rsidRDefault="00E678CD">
      <w:pPr>
        <w:pStyle w:val="1"/>
        <w:spacing w:line="600" w:lineRule="exact"/>
        <w:jc w:val="center"/>
        <w:rPr>
          <w:rFonts w:ascii="方正小标宋简体" w:eastAsia="方正小标宋简体" w:hAnsi="黑体"/>
          <w:b w:val="0"/>
        </w:rPr>
      </w:pPr>
      <w:r>
        <w:rPr>
          <w:rFonts w:ascii="方正小标宋简体" w:eastAsia="方正小标宋简体" w:hAnsi="黑体" w:hint="eastAsia"/>
          <w:b w:val="0"/>
        </w:rPr>
        <w:t>智能科技产业投融资论坛方案（拟）</w:t>
      </w:r>
    </w:p>
    <w:p w:rsidR="006857C4" w:rsidRDefault="00E678CD">
      <w:pPr>
        <w:spacing w:line="600" w:lineRule="exact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一、名称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智能科技产业投融资论坛</w:t>
      </w:r>
    </w:p>
    <w:p w:rsidR="006857C4" w:rsidRDefault="00E678C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二、主题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1.活动主题：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产融结合——服务实体经济发展，助推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新时代变革。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</w:rPr>
        <w:t>2.亮点特色：本次论坛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将坚持改革统领、科技引领和</w:t>
      </w:r>
    </w:p>
    <w:p w:rsidR="006857C4" w:rsidRDefault="00E678CD">
      <w:pPr>
        <w:spacing w:line="600" w:lineRule="exact"/>
        <w:ind w:leftChars="532" w:left="1117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创新驱动，积极构建和完善以科技金融为核心的创新服务体系，引导金融回归本源，服务实体经济。通过邀请国内外知名专家学者和业界精英举办高端论坛的同时，在会场内部或大会指定区域设置综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合金融服务、融资对接、路演推介、成果展示、项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目签约等版块内容，推动资本助力智能产业发展，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创造智能产业全球合作机会，为国家智能产业投融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资发展作出积极贡献，为大会提供更完备的一站式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配套金融服务。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2018年5月17日</w:t>
      </w:r>
      <w:r>
        <w:rPr>
          <w:rFonts w:ascii="仿宋_GB2312" w:eastAsia="仿宋_GB2312" w:hAnsi="仿宋" w:hint="eastAsia"/>
          <w:sz w:val="32"/>
        </w:rPr>
        <w:t>（星期四）09:00-12:00（以大会组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委会安排为准）</w:t>
      </w:r>
    </w:p>
    <w:p w:rsidR="006857C4" w:rsidRDefault="00E678C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四、会议地点</w:t>
      </w:r>
    </w:p>
    <w:p w:rsidR="006857C4" w:rsidRDefault="00E678CD">
      <w:pPr>
        <w:spacing w:line="600" w:lineRule="exact"/>
        <w:ind w:firstLineChars="300" w:firstLine="96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天津梅江会展中心N213会议室</w:t>
      </w:r>
    </w:p>
    <w:p w:rsidR="006857C4" w:rsidRDefault="00E678CD">
      <w:pPr>
        <w:spacing w:line="600" w:lineRule="exact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五、承办单位</w:t>
      </w:r>
    </w:p>
    <w:p w:rsidR="006857C4" w:rsidRDefault="00E678CD">
      <w:pPr>
        <w:spacing w:line="56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1.牵头单位：</w:t>
      </w:r>
      <w:r>
        <w:rPr>
          <w:rFonts w:ascii="仿宋_GB2312" w:eastAsia="仿宋_GB2312" w:hAnsi="黑体" w:hint="eastAsia"/>
          <w:sz w:val="32"/>
          <w:szCs w:val="32"/>
        </w:rPr>
        <w:t>天津市金融工作局</w:t>
      </w:r>
    </w:p>
    <w:p w:rsidR="006857C4" w:rsidRDefault="00E678CD">
      <w:pPr>
        <w:spacing w:line="56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2.承办单位：东丽区人民政府</w:t>
      </w:r>
    </w:p>
    <w:p w:rsidR="006857C4" w:rsidRDefault="00E678CD">
      <w:pPr>
        <w:spacing w:line="560" w:lineRule="exact"/>
        <w:ind w:firstLineChars="900" w:firstLine="28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天津海河产业基金管理有限公司</w:t>
      </w:r>
    </w:p>
    <w:p w:rsidR="006857C4" w:rsidRDefault="00E678CD">
      <w:pPr>
        <w:tabs>
          <w:tab w:val="left" w:pos="1418"/>
        </w:tabs>
        <w:spacing w:line="600" w:lineRule="exact"/>
        <w:ind w:firstLineChars="300" w:firstLine="9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3.第一责任人：天津市金融工作局党委书记、局长聂</w:t>
      </w:r>
    </w:p>
    <w:p w:rsidR="006857C4" w:rsidRDefault="00E678CD">
      <w:pPr>
        <w:tabs>
          <w:tab w:val="left" w:pos="1418"/>
        </w:tabs>
        <w:spacing w:line="600" w:lineRule="exact"/>
        <w:ind w:firstLineChars="1000" w:firstLine="3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伟迅</w:t>
      </w:r>
    </w:p>
    <w:p w:rsidR="006857C4" w:rsidRDefault="00E678CD">
      <w:pPr>
        <w:tabs>
          <w:tab w:val="left" w:pos="709"/>
          <w:tab w:val="left" w:pos="851"/>
        </w:tabs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六、议程（拟）</w:t>
      </w:r>
    </w:p>
    <w:p w:rsidR="006857C4" w:rsidRDefault="00E678CD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会议由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中央电视台特约评论员杨禹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主持（拟）</w:t>
      </w:r>
    </w:p>
    <w:tbl>
      <w:tblPr>
        <w:tblW w:w="7675" w:type="dxa"/>
        <w:tblInd w:w="711" w:type="dxa"/>
        <w:tblLayout w:type="fixed"/>
        <w:tblLook w:val="04A0" w:firstRow="1" w:lastRow="0" w:firstColumn="1" w:lastColumn="0" w:noHBand="0" w:noVBand="1"/>
      </w:tblPr>
      <w:tblGrid>
        <w:gridCol w:w="2784"/>
        <w:gridCol w:w="4891"/>
      </w:tblGrid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08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:30—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:00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ab/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播放暖场音乐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、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宣传视频；嘉宾签到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、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入席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08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:45—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:00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领导会见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:00—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:05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主持人开场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，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介绍与会领导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、重要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嘉宾；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09:05—09:15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拟请天津市政府领导致辞；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09:15—09:25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拟请天津市金融工作局领导致辞；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09:25—09:35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拟请天津市东丽区政府领导致辞；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09:35—09:50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题演讲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：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金融助力科技进步，产业推动中国领跑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演讲嘉宾：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清华大学天津高端装备研究院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院长雒建斌；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09:50—10:05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题演讲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：产城融合与可持续发展；</w:t>
            </w:r>
          </w:p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lastRenderedPageBreak/>
              <w:t>演讲嘉宾：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中国水利水电科学研究院水资源所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名誉所长王浩；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10:05—10:20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题演讲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产融结合，推动人类生活方式改变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演讲嘉宾：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法国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SES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公司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高管；</w:t>
            </w:r>
          </w:p>
        </w:tc>
      </w:tr>
      <w:tr w:rsidR="006857C4">
        <w:trPr>
          <w:trHeight w:val="656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10:20—10:35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题演讲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加速与进化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  <w:p w:rsidR="006857C4" w:rsidRDefault="00E678CD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演讲嘉宾：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硅谷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PNP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孵化器中国区总经理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10:35—11:00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项目签约：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海河基金、中丽基金相关重大产业项目及天津市各区县优质产融项目等，举办项目合作签约仪式，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为成果性项目提供对外宣传发布平台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shd w:val="clear" w:color="auto" w:fill="FFFFFF"/>
              </w:rPr>
              <w:t>。（包含海河基金、中丽基金相关产业项目及中瑞医疗产业园、东丽区河道治理项目等）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11:00—11:20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圆桌对话：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邀请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四至五位重量级行业领袖、特邀嘉宾各抒己见，从不同角度阐释智能产业投融资方面的思考。拟邀请天津市海河产业基金管理有限公司、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东丽湖管委会（主要围绕科技金融与产业，结合东丽区科创小镇）、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中丽（天津）产城融合发展基金管理有限公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lastRenderedPageBreak/>
              <w:t>司、海尔集团、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IDG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资本、红杉资本、高瓴资本、中国与世界经济研究中心等产业投融资领域权威人士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和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val="zh-TW" w:eastAsia="zh-TW"/>
              </w:rPr>
              <w:t>学术理论研究专家共同探讨分享各自的观点。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11:20—11:30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 w:eastAsia="zh-TW"/>
              </w:rPr>
              <w:t>现场互动提问；</w:t>
            </w:r>
          </w:p>
        </w:tc>
      </w:tr>
      <w:tr w:rsidR="006857C4">
        <w:trPr>
          <w:trHeight w:val="394"/>
        </w:trPr>
        <w:tc>
          <w:tcPr>
            <w:tcW w:w="2784" w:type="dxa"/>
          </w:tcPr>
          <w:p w:rsidR="006857C4" w:rsidRDefault="00E678CD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11:30—12:00</w:t>
            </w:r>
          </w:p>
        </w:tc>
        <w:tc>
          <w:tcPr>
            <w:tcW w:w="4891" w:type="dxa"/>
          </w:tcPr>
          <w:p w:rsidR="006857C4" w:rsidRDefault="00E678CD">
            <w:pPr>
              <w:spacing w:line="60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TW"/>
              </w:rPr>
              <w:t>项目撮合对接环节：在会场后部设置对接桌，组织会前预对接企业、机构等进行项目深度交流沟通，力争达成意向合作。</w:t>
            </w:r>
          </w:p>
        </w:tc>
      </w:tr>
    </w:tbl>
    <w:p w:rsidR="006857C4" w:rsidRDefault="00E678CD">
      <w:pPr>
        <w:tabs>
          <w:tab w:val="left" w:pos="567"/>
        </w:tabs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七、参会嘉宾名单（拟）</w:t>
      </w:r>
    </w:p>
    <w:p w:rsidR="006857C4" w:rsidRDefault="00E678CD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拟参会人员150人。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  浩流域水循环模拟与调控国家重点实验室</w:t>
      </w:r>
    </w:p>
    <w:p w:rsidR="006857C4" w:rsidRDefault="00E678CD">
      <w:pPr>
        <w:spacing w:line="600" w:lineRule="exact"/>
        <w:ind w:firstLineChars="825" w:firstLine="2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中国水利水电科学研究院水资源所主任、</w:t>
      </w:r>
    </w:p>
    <w:p w:rsidR="006857C4" w:rsidRDefault="00E678CD">
      <w:pPr>
        <w:spacing w:line="600" w:lineRule="exact"/>
        <w:ind w:firstLineChars="825" w:firstLine="2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名誉所长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雒建斌  清华大学天津高端装备研究院院长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Michael I.Jordan加州大学伯克利分校教授全球人</w:t>
      </w:r>
    </w:p>
    <w:p w:rsidR="006857C4" w:rsidRDefault="00E678CD">
      <w:pPr>
        <w:spacing w:line="60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工智能鼻祖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Alvin Roth哈佛商学院教授，共享经济之父2012</w:t>
      </w:r>
    </w:p>
    <w:p w:rsidR="006857C4" w:rsidRDefault="00E678CD">
      <w:pPr>
        <w:spacing w:line="60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诺奖得主</w:t>
      </w:r>
    </w:p>
    <w:p w:rsidR="006857C4" w:rsidRDefault="00E678CD">
      <w:pPr>
        <w:tabs>
          <w:tab w:val="left" w:pos="2694"/>
          <w:tab w:val="left" w:pos="2835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颜水成</w:t>
      </w:r>
      <w:r>
        <w:rPr>
          <w:rFonts w:ascii="仿宋_GB2312" w:eastAsia="仿宋_GB2312" w:hAnsi="仿宋" w:hint="eastAsia"/>
          <w:sz w:val="32"/>
          <w:szCs w:val="32"/>
        </w:rPr>
        <w:tab/>
        <w:t>360人工智能研究院院长</w:t>
      </w:r>
    </w:p>
    <w:p w:rsidR="006857C4" w:rsidRDefault="00E678CD">
      <w:pPr>
        <w:spacing w:line="600" w:lineRule="exact"/>
        <w:ind w:leftChars="475" w:left="2598" w:hangingChars="500" w:hanging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何晓飞   滴滴出行高级副总裁、滴滴研究院院长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雷  军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小米科技董事长兼CEO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杨元庆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联想集团总裁兼首席执行官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林元庆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爱笔科技董事长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张瑞敏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青岛海尔股份有限公司董事局主席、CEO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王东升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京东方科技集团董事长 </w:t>
      </w:r>
    </w:p>
    <w:p w:rsidR="006857C4" w:rsidRDefault="00E678CD">
      <w:pPr>
        <w:tabs>
          <w:tab w:val="left" w:pos="2694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王锦虹</w:t>
      </w:r>
      <w:r>
        <w:rPr>
          <w:rFonts w:ascii="仿宋_GB2312" w:eastAsia="仿宋_GB2312" w:hAnsi="仿宋" w:hint="eastAsia"/>
          <w:sz w:val="32"/>
          <w:szCs w:val="32"/>
        </w:rPr>
        <w:tab/>
        <w:t>海河产业基金董事长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孔爱祥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浙江兆丰机电股份有限公司董事长</w:t>
      </w:r>
    </w:p>
    <w:p w:rsidR="006857C4" w:rsidRDefault="00E678CD">
      <w:pPr>
        <w:tabs>
          <w:tab w:val="left" w:pos="1418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徐冰</w:t>
      </w: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" w:hAnsi="仿宋" w:hint="eastAsia"/>
          <w:sz w:val="32"/>
          <w:szCs w:val="32"/>
        </w:rPr>
        <w:t>商汤科技联合创始人、副总裁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孔祥志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易车网副总裁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王育林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金山云首席执行官</w:t>
      </w:r>
    </w:p>
    <w:p w:rsidR="006857C4" w:rsidRDefault="00E678CD">
      <w:pPr>
        <w:spacing w:line="600" w:lineRule="exact"/>
        <w:ind w:leftChars="475" w:left="998"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何小鹏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小鹏汽车董事长</w:t>
      </w:r>
    </w:p>
    <w:p w:rsidR="006857C4" w:rsidRDefault="00E678CD">
      <w:pPr>
        <w:tabs>
          <w:tab w:val="left" w:pos="2694"/>
        </w:tabs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张金金</w:t>
      </w:r>
      <w:r>
        <w:rPr>
          <w:rFonts w:ascii="仿宋_GB2312" w:eastAsia="仿宋_GB2312" w:hAnsi="仿宋" w:hint="eastAsia"/>
          <w:sz w:val="32"/>
          <w:szCs w:val="32"/>
        </w:rPr>
        <w:tab/>
        <w:t>小鹏汽车副总裁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黄耀文</w:t>
      </w:r>
      <w:r>
        <w:rPr>
          <w:rFonts w:ascii="仿宋_GB2312" w:eastAsia="仿宋_GB2312" w:hAnsi="仿宋" w:hint="eastAsia"/>
          <w:sz w:val="32"/>
          <w:szCs w:val="32"/>
        </w:rPr>
        <w:tab/>
        <w:t>中国国新控股有限责任公司副总经理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王新卫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华兴资本集团董事总经理、CFO 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路军</w:t>
      </w:r>
      <w:r>
        <w:rPr>
          <w:rFonts w:ascii="仿宋_GB2312" w:eastAsia="仿宋_GB2312" w:hAnsi="仿宋" w:hint="eastAsia"/>
          <w:sz w:val="32"/>
          <w:szCs w:val="32"/>
        </w:rPr>
        <w:tab/>
        <w:t>华芯投资管理有限责任公司董事长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白国光</w:t>
      </w:r>
      <w:r>
        <w:rPr>
          <w:rFonts w:ascii="仿宋_GB2312" w:eastAsia="仿宋_GB2312" w:hAnsi="仿宋" w:hint="eastAsia"/>
          <w:sz w:val="32"/>
          <w:szCs w:val="32"/>
        </w:rPr>
        <w:tab/>
        <w:t>国投创新投资管理有限公司总经理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张朝辉</w:t>
      </w:r>
      <w:r>
        <w:rPr>
          <w:rFonts w:ascii="仿宋_GB2312" w:eastAsia="仿宋_GB2312" w:hAnsi="仿宋" w:hint="eastAsia"/>
          <w:sz w:val="32"/>
          <w:szCs w:val="32"/>
        </w:rPr>
        <w:tab/>
        <w:t>诚通基金管理有限公司副总经理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张胜</w:t>
      </w:r>
      <w:r>
        <w:rPr>
          <w:rFonts w:ascii="仿宋_GB2312" w:eastAsia="仿宋_GB2312" w:hAnsi="仿宋" w:hint="eastAsia"/>
          <w:sz w:val="32"/>
          <w:szCs w:val="32"/>
        </w:rPr>
        <w:tab/>
        <w:t>中民投首席投资官</w:t>
      </w:r>
    </w:p>
    <w:p w:rsidR="006857C4" w:rsidRDefault="00E678CD">
      <w:pPr>
        <w:tabs>
          <w:tab w:val="left" w:pos="2694"/>
        </w:tabs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李稻葵   中国与世界经济研究中心主任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张维迎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北京大学国家发展研究院教授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曹远征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中国银行首席经济学家</w:t>
      </w:r>
    </w:p>
    <w:p w:rsidR="006857C4" w:rsidRDefault="00E678CD">
      <w:pPr>
        <w:spacing w:line="600" w:lineRule="exact"/>
        <w:ind w:leftChars="475" w:left="2598" w:hangingChars="500" w:hanging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田溯宁</w:t>
      </w:r>
      <w:r>
        <w:rPr>
          <w:rFonts w:ascii="仿宋_GB2312" w:eastAsia="仿宋_GB2312" w:hAnsi="仿宋" w:hint="eastAsia"/>
          <w:sz w:val="32"/>
          <w:szCs w:val="32"/>
        </w:rPr>
        <w:tab/>
        <w:t>中国宽带资本基金董事长、联想集团独立非执行董事、美国哈佛商学院顾问委员会委员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熊晓鸽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IDG资本全球董事长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沈南鹏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红杉资本全球执行合伙人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蒲晓燕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红杉资本中国基金合伙人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张磊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高瓴资本创始人兼首席执行官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马源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高瓴资本董事总经理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李建光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IDG技术创业投资基金合伙人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曲阳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海河产业基金副总经理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张文莹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海河产业基金总经理助理</w:t>
      </w:r>
    </w:p>
    <w:p w:rsidR="006857C4" w:rsidRDefault="00E678CD">
      <w:pPr>
        <w:tabs>
          <w:tab w:val="left" w:pos="2552"/>
          <w:tab w:val="left" w:pos="2694"/>
          <w:tab w:val="left" w:pos="2835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段兰春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凯辉基金管理合伙人</w:t>
      </w:r>
    </w:p>
    <w:p w:rsidR="006857C4" w:rsidRDefault="00E678CD">
      <w:pPr>
        <w:tabs>
          <w:tab w:val="left" w:pos="1418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王俊沣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中丽基金董事长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薛村禾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软银中国创始人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倪泽望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深创投董事长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阎焱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赛富投资创始合伙人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刘东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平安资本管理合伙人</w:t>
      </w:r>
    </w:p>
    <w:p w:rsidR="006857C4" w:rsidRDefault="00E678CD">
      <w:pPr>
        <w:tabs>
          <w:tab w:val="left" w:pos="2552"/>
        </w:tabs>
        <w:spacing w:line="600" w:lineRule="exact"/>
        <w:ind w:left="127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王振宇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鼎晖投资合伙人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盛希泰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洪泰资本控股创始人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殷哲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歌斐资本CEO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薛峰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光大证券董事长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冯鹤年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民生证券董事长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刘剑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赛领资本总裁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赖淦峰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天润数娱董事长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王森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北京文投合伙人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范军波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长江资本总裁</w:t>
      </w:r>
    </w:p>
    <w:p w:rsidR="006857C4" w:rsidRDefault="00E678CD">
      <w:pPr>
        <w:tabs>
          <w:tab w:val="left" w:pos="1418"/>
          <w:tab w:val="left" w:pos="2694"/>
        </w:tabs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查向阳</w:t>
      </w:r>
      <w:r>
        <w:rPr>
          <w:rFonts w:ascii="仿宋_GB2312" w:eastAsia="仿宋_GB2312" w:hAnsi="仿宋" w:hint="eastAsia"/>
          <w:sz w:val="32"/>
          <w:szCs w:val="32"/>
        </w:rPr>
        <w:tab/>
        <w:t>厚朴基金合伙人</w:t>
      </w:r>
    </w:p>
    <w:p w:rsidR="006857C4" w:rsidRDefault="00E678CD">
      <w:pPr>
        <w:spacing w:line="600" w:lineRule="exact"/>
        <w:ind w:left="11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王一军</w:t>
      </w:r>
      <w:r>
        <w:rPr>
          <w:rFonts w:ascii="仿宋_GB2312" w:eastAsia="仿宋_GB2312" w:hAnsi="仿宋" w:hint="eastAsia"/>
          <w:sz w:val="32"/>
          <w:szCs w:val="32"/>
        </w:rPr>
        <w:tab/>
        <w:t xml:space="preserve"> 中国风投总经理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伍朝阳   力鼎资本董事长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王思雪   晨兴资本总监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周炜   创世伙伴资本合伙人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吴世春   梅花天使创投合伙人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晏小平   晨晖资本合伙人</w:t>
      </w:r>
      <w:r>
        <w:rPr>
          <w:rFonts w:ascii="仿宋_GB2312" w:eastAsia="仿宋_GB2312" w:hAnsi="仿宋" w:hint="eastAsia"/>
          <w:sz w:val="32"/>
          <w:szCs w:val="32"/>
        </w:rPr>
        <w:tab/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韩越   春晓资本合伙人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洪雷   天创协会总经理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张扬   华控基金创始人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傅哲宽   启赋资本董事长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郑靖伟   靖亚资本合伙人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王求乐   名川资本合伙人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杨睿   天津滨海财富投资有限公司执行董事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徐捷   大通盈泰资产管理有限公司总经理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王榕略   天津星星投资管理有限公司总经理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曹振岭   中国民生投资股份有限公司董事长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王沛尧   上古投资控股集团有限公司董事长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郭磊   天津清研陆石投资管理有限公司总经理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朱长陆   天津合盈资产管理有限公司执行董事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陈晓峰   中科院创业投资管理有限公司董事长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郭磊   天津清研陆石投资管理有限公司总经理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徐洁   青岛海尔创投母基金高级募资经理</w:t>
      </w:r>
    </w:p>
    <w:p w:rsidR="006857C4" w:rsidRDefault="00E678CD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周伟丽   安芙兰资本董事长</w:t>
      </w:r>
    </w:p>
    <w:p w:rsidR="006857C4" w:rsidRDefault="006857C4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</w:p>
    <w:p w:rsidR="006857C4" w:rsidRDefault="006857C4">
      <w:pPr>
        <w:spacing w:line="60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</w:p>
    <w:p w:rsidR="006857C4" w:rsidRDefault="00E678CD">
      <w:pPr>
        <w:tabs>
          <w:tab w:val="left" w:pos="567"/>
        </w:tabs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八、演讲嘉宾简介（拟）</w:t>
      </w:r>
    </w:p>
    <w:p w:rsidR="006857C4" w:rsidRDefault="00E678C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149860</wp:posOffset>
            </wp:positionV>
            <wp:extent cx="1130300" cy="1581150"/>
            <wp:effectExtent l="0" t="0" r="12700" b="0"/>
            <wp:wrapSquare wrapText="bothSides"/>
            <wp:docPr id="1" name="图片 1" descr="说明: https://gss2.bdstatic.com/-fo3dSag_xI4khGkpoWK1HF6hhy/baike/w%3D268%3Bg%3D0/sign=14231cb281d4b31cf03c93bdbfed4042/2cf5e0fe9925bc3102ae066954df8db1ca137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s://gss2.bdstatic.com/-fo3dSag_xI4khGkpoWK1HF6hhy/baike/w%3D268%3Bg%3D0/sign=14231cb281d4b31cf03c93bdbfed4042/2cf5e0fe9925bc3102ae066954df8db1ca13704b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雒建斌，</w:t>
      </w:r>
      <w:hyperlink r:id="rId8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中国科学院院士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hyperlink r:id="rId9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清华大学精密仪器与机械学系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长江学者特聘教授。1982年毕业于</w:t>
      </w:r>
      <w:hyperlink r:id="rId10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东北大学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，1985年至1988年在</w:t>
      </w:r>
      <w:hyperlink r:id="rId11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西安建筑科技大学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读研究生，并获</w:t>
      </w:r>
      <w:hyperlink r:id="rId12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西安建筑科技大学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硕士学位，1994年获</w:t>
      </w:r>
      <w:hyperlink r:id="rId13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清华大学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博士学位。现任清华大学</w:t>
      </w:r>
      <w:hyperlink r:id="rId14" w:tgtFrame="_blank" w:history="1">
        <w:r>
          <w:rPr>
            <w:rStyle w:val="a3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摩擦学国家重点实验室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主任。2011年当选为中国科学院院士。</w:t>
      </w:r>
    </w:p>
    <w:p w:rsidR="006857C4" w:rsidRDefault="00E678C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128905</wp:posOffset>
            </wp:positionV>
            <wp:extent cx="1170305" cy="1560830"/>
            <wp:effectExtent l="0" t="0" r="10795" b="1270"/>
            <wp:wrapSquare wrapText="bothSides"/>
            <wp:docPr id="2" name="图片 2" descr="说明: https://gss1.bdstatic.com/9vo3dSag_xI4khGkpoWK1HF6hhy/baike/c0%3Dbaike180%2C5%2C5%2C180%2C60/sign=677b2e90017b020818c437b303b099b6/f31fbe096b63f624621d3f368c44ebf81a4ca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https://gss1.bdstatic.com/9vo3dSag_xI4khGkpoWK1HF6hhy/baike/c0%3Dbaike180%2C5%2C5%2C180%2C60/sign=677b2e90017b020818c437b303b099b6/f31fbe096b63f624621d3f368c44ebf81a4ca346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王浩，1989年毕业于清华大学获博士学位。中国工程院院士，水文学及水资源学家，教授级高工，博士生导师。现任流域水循环模拟与调控国家重点实验室主任，中国水利水电科学研究院水资源所名誉所长，享受政府特殊津贴。兼任中国可持续发展研究会理事长、中国水资源战略研究会常务副理事长、中国自然资源学会副理事长、全球水伙伴（中国）副主席等。获联合国“全球人居环境奖”被授予“全国先进工作者”、“中央国家机关五一劳动奖章”等荣誉称号。出版专著36部，申请专利90余项，发表学术论文450余篇，获国家科学技术进步奖一等奖1项，国家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学技术进步奖二等奖7项；省部级特等奖1项，一等奖21项，省部级其他奖励10余项。2016年10月被水利部聘任为</w:t>
      </w:r>
      <w:hyperlink r:id="rId16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水利部参事咨询委员会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委员。</w:t>
      </w:r>
    </w:p>
    <w:p w:rsidR="006857C4" w:rsidRDefault="00E678C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139700</wp:posOffset>
            </wp:positionV>
            <wp:extent cx="1085850" cy="1596390"/>
            <wp:effectExtent l="0" t="0" r="0" b="3810"/>
            <wp:wrapSquare wrapText="bothSides"/>
            <wp:docPr id="3" name="图片 3" descr="说明: https://gss1.bdstatic.com/9vo3dSag_xI4khGkpoWK1HF6hhy/baike/w%3D268%3Bg%3D0/sign=8b48cb2b6d224f4a5799741531ccf76f/c83d70cf3bc79f3dc16f593dbaa1cd11728b2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https://gss1.bdstatic.com/9vo3dSag_xI4khGkpoWK1HF6hhy/baike/w%3D268%3Bg%3D0/sign=8b48cb2b6d224f4a5799741531ccf76f/c83d70cf3bc79f3dc16f593dbaa1cd11728b2934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李稻葵，</w:t>
      </w:r>
      <w:hyperlink r:id="rId18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清华大学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经济管理学院Freeman经济学讲席教授，清华大学苏世民书院原院长， 博士生导师，长江学者特聘教授。原</w:t>
      </w:r>
      <w:hyperlink r:id="rId19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央行货币政策委员会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委员，十一届全国政协委员，清华大学金融系主任，中国与世界经济研究中心(CCWE)主任。清华大学管理学学士（1985年），</w:t>
      </w:r>
      <w:hyperlink r:id="rId20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美国</w:t>
        </w:r>
      </w:hyperlink>
      <w:hyperlink r:id="rId21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哈佛大学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经济学博士（1992年）。2011年5月初，李稻葵发表文章指责“个税体制设计极其简陋，甚至‘弱智’，他建议实施</w:t>
      </w:r>
      <w:hyperlink r:id="rId22" w:tgtFrame="_blank" w:history="1"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平税制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。此观点甫一发布，立即引发强烈反响。</w:t>
      </w:r>
    </w:p>
    <w:p w:rsidR="006857C4" w:rsidRDefault="00E678C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148590</wp:posOffset>
            </wp:positionV>
            <wp:extent cx="1125855" cy="1624965"/>
            <wp:effectExtent l="0" t="0" r="17145" b="13335"/>
            <wp:wrapSquare wrapText="bothSides"/>
            <wp:docPr id="4" name="图片 4" descr="roth_post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oth_postcard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阿尔文·罗斯（Alvin Roth），生于1951年12月19日，美国经济学家，目前担任哈佛大学商学院经济学与工商管理乔治·冈德教授。1971年毕业于克伦比亚大学，主修运筹学，其后又在斯坦福大学获得了硕士和博士学位。离开斯坦福之后，罗斯直到1982年一直在伊利诺斯大学任教。此后他在匹兹堡大学担任安德鲁-梅隆经济学教授直到1998年，之后他加入哈佛大学并在此工作至今。罗斯是美国杰出年轻教授奖：斯隆奖的获得者，古根海姆基金会会士，美国艺术和科学院院士。他还是美国国家经济研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究局(NBER)和美国计量经济学学会成员。罗斯在博弈论、市场设计与实验经济学取得卓越贡献。主要著作包括:谈判的博弈论模型（1985）、《实验经济学：六个观点》（1987，2008年翻译为中文版）、《实验经济学手册》（1995）、《鲍勃·威尔逊传统中的经济学（2001）等。</w:t>
      </w:r>
    </w:p>
    <w:p w:rsidR="006857C4" w:rsidRDefault="00E678CD">
      <w:pP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200660</wp:posOffset>
            </wp:positionV>
            <wp:extent cx="1215390" cy="1622425"/>
            <wp:effectExtent l="0" t="0" r="3810" b="15875"/>
            <wp:wrapSquare wrapText="bothSides"/>
            <wp:docPr id="5" name="图片 5" descr="29b8cd0f-5d4c-41db-a907-313e7a59d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b8cd0f-5d4c-41db-a907-313e7a59d04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Michael I.Jordan，加州大学伯克利分校电子工程系、计算机科学和统计系的陈丕宏杰出教授。他在亚利桑那州立大学获得了数学硕士学位，并且在1985年从加利福尼亚大学圣地亚哥分校获得了认知学博士学位。自1988年到1998年，乔丹在麻省理工学院任教授，他的研究方向包括了计算学、统计学、认知科学以及生物科学，最近几年集中在贝叶斯非参数分析，概率图模型，谱方法，核方法和在分布式计算系统、自然语言处理、信号处理和统计遗传学等问题的应用上。乔丹教授是美国国家工程学院院士、科学院院士和美国艺术和科学学院院士。同时，他还是美国科学进步协会的资深会员。他被数理统计研究所任命为奈曼讲师和奖章讲师。在2015年，他获得了David E. Rumelhart奖；在2009年，他获得了ACM/AAAI的Allen Newell奖。同时，他是AAAI、ACM、ASA、CSS、IEEE、IMS、ISBA和SIAM的成员。</w:t>
      </w:r>
    </w:p>
    <w:p w:rsidR="006857C4" w:rsidRDefault="006857C4"/>
    <w:sectPr w:rsidR="006857C4" w:rsidSect="0068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0BC" w:rsidRDefault="003640BC" w:rsidP="00E539B1">
      <w:r>
        <w:separator/>
      </w:r>
    </w:p>
  </w:endnote>
  <w:endnote w:type="continuationSeparator" w:id="0">
    <w:p w:rsidR="003640BC" w:rsidRDefault="003640BC" w:rsidP="00E5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0BC" w:rsidRDefault="003640BC" w:rsidP="00E539B1">
      <w:r>
        <w:separator/>
      </w:r>
    </w:p>
  </w:footnote>
  <w:footnote w:type="continuationSeparator" w:id="0">
    <w:p w:rsidR="003640BC" w:rsidRDefault="003640BC" w:rsidP="00E5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7512205"/>
    <w:rsid w:val="00025941"/>
    <w:rsid w:val="003640BC"/>
    <w:rsid w:val="006857C4"/>
    <w:rsid w:val="00AE3062"/>
    <w:rsid w:val="00AF6808"/>
    <w:rsid w:val="00BE783D"/>
    <w:rsid w:val="00CA33D6"/>
    <w:rsid w:val="00E539B1"/>
    <w:rsid w:val="00E678CD"/>
    <w:rsid w:val="12EC15C7"/>
    <w:rsid w:val="1C9618FE"/>
    <w:rsid w:val="6D535020"/>
    <w:rsid w:val="77512205"/>
    <w:rsid w:val="78273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BE8D13"/>
  <w15:docId w15:val="{C5CACBEC-B8F5-4E79-B12A-BBD07087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57C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85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7C4"/>
    <w:rPr>
      <w:color w:val="0000FF"/>
      <w:u w:val="single"/>
    </w:rPr>
  </w:style>
  <w:style w:type="table" w:styleId="a4">
    <w:name w:val="Table Grid"/>
    <w:basedOn w:val="a1"/>
    <w:qFormat/>
    <w:rsid w:val="006857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 A"/>
    <w:qFormat/>
    <w:rsid w:val="006857C4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rsid w:val="00E53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539B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53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539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AD%E5%9B%BD%E7%A7%91%E5%AD%A6%E9%99%A2%E9%99%A2%E5%A3%AB" TargetMode="External"/><Relationship Id="rId13" Type="http://schemas.openxmlformats.org/officeDocument/2006/relationships/hyperlink" Target="https://baike.baidu.com/item/%E6%B8%85%E5%8D%8E%E5%A4%A7%E5%AD%A6/111764" TargetMode="External"/><Relationship Id="rId18" Type="http://schemas.openxmlformats.org/officeDocument/2006/relationships/hyperlink" Target="https://baike.baidu.com/item/%E6%B8%85%E5%8D%8E%E5%A4%A7%E5%AD%A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ike.baidu.com/item/%E5%93%88%E4%BD%9B%E5%A4%A7%E5%AD%A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aike.baidu.com/item/%E8%A5%BF%E5%AE%89%E5%BB%BA%E7%AD%91%E7%A7%91%E6%8A%80%E5%A4%A7%E5%AD%A6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6%B0%B4%E5%88%A9%E9%83%A8%E5%8F%82%E4%BA%8B%E5%92%A8%E8%AF%A2%E5%A7%94%E5%91%98%E4%BC%9A" TargetMode="External"/><Relationship Id="rId20" Type="http://schemas.openxmlformats.org/officeDocument/2006/relationships/hyperlink" Target="https://baike.baidu.com/item/%E7%BE%8E%E5%9B%BD/12548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8%A5%BF%E5%AE%89%E5%BB%BA%E7%AD%91%E7%A7%91%E6%8A%80%E5%A4%A7%E5%AD%A6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10" Type="http://schemas.openxmlformats.org/officeDocument/2006/relationships/hyperlink" Target="https://baike.baidu.com/item/%E4%B8%9C%E5%8C%97%E5%A4%A7%E5%AD%A6/18014" TargetMode="External"/><Relationship Id="rId19" Type="http://schemas.openxmlformats.org/officeDocument/2006/relationships/hyperlink" Target="https://baike.baidu.com/item/%E5%A4%AE%E8%A1%8C%E8%B4%A7%E5%B8%81%E6%94%BF%E7%AD%96%E5%A7%94%E5%91%98%E4%BC%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6%B8%85%E5%8D%8E%E5%A4%A7%E5%AD%A6%E7%B2%BE%E5%AF%86%E4%BB%AA%E5%99%A8%E4%B8%8E%E6%9C%BA%E6%A2%B0%E5%AD%A6%E7%B3%BB" TargetMode="External"/><Relationship Id="rId14" Type="http://schemas.openxmlformats.org/officeDocument/2006/relationships/hyperlink" Target="https://baike.baidu.com/item/%E6%91%A9%E6%93%A6%E5%AD%A6%E5%9B%BD%E5%AE%B6%E9%87%8D%E7%82%B9%E5%AE%9E%E9%AA%8C%E5%AE%A4" TargetMode="External"/><Relationship Id="rId22" Type="http://schemas.openxmlformats.org/officeDocument/2006/relationships/hyperlink" Target="https://baike.baidu.com/item/%E5%B9%B3%E7%A8%8E%E5%88%B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10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等待1403234822</dc:creator>
  <cp:lastModifiedBy>孔祥凤</cp:lastModifiedBy>
  <cp:revision>5</cp:revision>
  <cp:lastPrinted>2018-03-29T02:35:00Z</cp:lastPrinted>
  <dcterms:created xsi:type="dcterms:W3CDTF">2018-03-29T02:08:00Z</dcterms:created>
  <dcterms:modified xsi:type="dcterms:W3CDTF">2018-04-10T08:13:00Z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