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津工信科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〔2023〕17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服务平台申报单位应当具备的具体条件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textAlignment w:val="auto"/>
        <w:outlineLvl w:val="9"/>
        <w:rPr>
          <w:rFonts w:hint="eastAsia"/>
        </w:rPr>
      </w:pPr>
    </w:p>
    <w:tbl>
      <w:tblPr>
        <w:tblStyle w:val="6"/>
        <w:tblW w:w="15037" w:type="dxa"/>
        <w:jc w:val="center"/>
        <w:tblInd w:w="-1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4170"/>
        <w:gridCol w:w="3975"/>
        <w:gridCol w:w="4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5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highlight w:val="none"/>
              </w:rPr>
              <w:t>项  目</w:t>
            </w:r>
          </w:p>
        </w:tc>
        <w:tc>
          <w:tcPr>
            <w:tcW w:w="417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highlight w:val="none"/>
              </w:rPr>
              <w:t>试验检测类</w:t>
            </w:r>
          </w:p>
        </w:tc>
        <w:tc>
          <w:tcPr>
            <w:tcW w:w="397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highlight w:val="none"/>
              </w:rPr>
              <w:t>信息服务类</w:t>
            </w:r>
          </w:p>
        </w:tc>
        <w:tc>
          <w:tcPr>
            <w:tcW w:w="43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创新成果产业化类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569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（一）符合国家有关法律、法规、规章和国家产业技术基础发展政策及相关规定。</w:t>
            </w: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在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我市范围内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依法设立的独立法人单位。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遵守国家法律、法规和规章，未发生由行政执法监督机关确认的违法、违规行为。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无侵犯他人知识产权的行为。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569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（二）自觉接受政府有关部门的指导和监督。</w:t>
            </w: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积极承担政府部门委托的有关任务。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按时上报服务平台能力建设和服务运营情况。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政府有关部门监督检查时，如实汇报有关情况。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上报试验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检测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、信息服务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创新成果产业化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发展报告。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69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（三）具有完善的运行机制。</w:t>
            </w: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具备完善的管理制度。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具有规范的服务流程和服务质量保证措施。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账务状况及运营情况良好。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具有明确的近期及长期发展目标。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在建立合理高效的市场化运作机制的同时，提供必要的公益服务。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2569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四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行业或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地区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内公信度高、服务面广、具有示范带动作用。</w:t>
            </w:r>
          </w:p>
        </w:tc>
        <w:tc>
          <w:tcPr>
            <w:tcW w:w="4170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具有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3年以上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相关领域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标准、计量、认证认可、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试验验证服务的经历。</w:t>
            </w:r>
          </w:p>
        </w:tc>
        <w:tc>
          <w:tcPr>
            <w:tcW w:w="397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具有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3年以上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相关领域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行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业信息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政策研究和决策支持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以及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知识产权服务的经历。</w:t>
            </w:r>
          </w:p>
        </w:tc>
        <w:tc>
          <w:tcPr>
            <w:tcW w:w="4323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具有3年以上相关领域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创新成果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中试熟化、供需对接、交易、评价等转化和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产业化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服务的经历。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7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通过国家检验检测机构资质认定或国家检测和校准实验室认可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具备认可条件和经历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397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具有开展国际交流合作的良好条件和合作经历。</w:t>
            </w:r>
          </w:p>
        </w:tc>
        <w:tc>
          <w:tcPr>
            <w:tcW w:w="4323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具有开展国际交流合作的良好条件和合作经历。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7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97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具有公开出版物或宣传媒介。</w:t>
            </w:r>
          </w:p>
        </w:tc>
        <w:tc>
          <w:tcPr>
            <w:tcW w:w="4323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与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行业或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区域内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相关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机构（联盟、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协会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科研院所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和高校等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）具有紧密合作关系。具备对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行业或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区域相关资源的整合、推广、辐射及带动服务的能力。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569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五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）拥有高水平的专业人员队伍。</w:t>
            </w:r>
          </w:p>
        </w:tc>
        <w:tc>
          <w:tcPr>
            <w:tcW w:w="4170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拥有高水平的技术带头人。</w:t>
            </w:r>
          </w:p>
        </w:tc>
        <w:tc>
          <w:tcPr>
            <w:tcW w:w="397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拥有高水平的学术带头人。</w:t>
            </w:r>
          </w:p>
        </w:tc>
        <w:tc>
          <w:tcPr>
            <w:tcW w:w="4323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拥有高水平的成果转化带头人。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70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专职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从事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检验检测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相关服务的人数不少于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0人。</w:t>
            </w:r>
          </w:p>
        </w:tc>
        <w:tc>
          <w:tcPr>
            <w:tcW w:w="397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专职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从事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信息服务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相关的人数不少于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0人。</w:t>
            </w:r>
          </w:p>
        </w:tc>
        <w:tc>
          <w:tcPr>
            <w:tcW w:w="4323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专职从事成果转化相关服务的人数不少于10人。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70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从事基础理论研究、应用技术研究、标准和方法研究、关键技术攻关等科研活动的专业人员中，硕士或中级职称及以上人员比例不低于60%。</w:t>
            </w:r>
          </w:p>
        </w:tc>
        <w:tc>
          <w:tcPr>
            <w:tcW w:w="8298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专业服务人员队伍硕士或中级职称以上专业人员的比例不低于60%。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70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专业服务人员中，大专及以上学历人员的比例不低于80%。</w:t>
            </w:r>
          </w:p>
        </w:tc>
        <w:tc>
          <w:tcPr>
            <w:tcW w:w="8298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近3年专业人员发表过有影响力的论文、专著。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569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）具备提供试验验证、信息服务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eastAsia="仿宋_GB2312"/>
                <w:color w:val="auto"/>
                <w:spacing w:val="-2"/>
                <w:sz w:val="32"/>
                <w:szCs w:val="32"/>
                <w:shd w:val="clear" w:fill="FFFFFF"/>
                <w:lang w:val="en-US" w:eastAsia="zh-CN"/>
              </w:rPr>
              <w:t>成果产业化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所必需的基础设施。</w:t>
            </w:r>
          </w:p>
        </w:tc>
        <w:tc>
          <w:tcPr>
            <w:tcW w:w="4170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拥有自有固定的试验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检测场地和经营服务场所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8298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拥有自有固定的经营服务场所。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70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配备符合试验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检测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、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实验验证所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要求的抽样、测量、试验和分析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仪器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设备（含软件）、计量标准器具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等。 </w:t>
            </w:r>
          </w:p>
        </w:tc>
        <w:tc>
          <w:tcPr>
            <w:tcW w:w="397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配备多源信息采集系统或信息处理工具、信息分析工具等，具备各类信息的存储、检索、分析、预警等功能。</w:t>
            </w:r>
          </w:p>
        </w:tc>
        <w:tc>
          <w:tcPr>
            <w:tcW w:w="4323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配备实验验证、中试熟化相关的仪器、设备、中试线等，或具有创新成果采集系统、成熟度评价系统、成果转化服务平台，具备供需对接、技术交易、成果管理等功能。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2569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70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具有较大规模的试验检测用例或数据资源。</w:t>
            </w:r>
          </w:p>
        </w:tc>
        <w:tc>
          <w:tcPr>
            <w:tcW w:w="3975" w:type="dxa"/>
            <w:vAlign w:val="center"/>
          </w:tcPr>
          <w:p>
            <w:pPr>
              <w:spacing w:line="320" w:lineRule="exact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具有较大规模的专题信息库、产业数据库、知识产权资源数据库或标准数据库等专业数据资源。</w:t>
            </w:r>
          </w:p>
        </w:tc>
        <w:tc>
          <w:tcPr>
            <w:tcW w:w="4323" w:type="dxa"/>
            <w:vAlign w:val="center"/>
          </w:tcPr>
          <w:p>
            <w:pPr>
              <w:spacing w:line="320" w:lineRule="exact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具有较大规模的企业需求、成果转化、专家人才、成果转化工具库等数据资源。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569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七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）具有领先的科研能力和服务能力。</w:t>
            </w:r>
          </w:p>
        </w:tc>
        <w:tc>
          <w:tcPr>
            <w:tcW w:w="4170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检测和校准项目已通过实验室资质认定（CMA）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中国合格评定国家认可委员会（CNAS）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或国家认证认可监督管理委员会（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CN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CA）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认可。</w:t>
            </w:r>
          </w:p>
        </w:tc>
        <w:tc>
          <w:tcPr>
            <w:tcW w:w="397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已入选国家、行业和地方关于信息服务、知识产权等方面的示范、试点或资质认定等。</w:t>
            </w:r>
          </w:p>
        </w:tc>
        <w:tc>
          <w:tcPr>
            <w:tcW w:w="4323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已入选国家、行业和地方关于成果转化及产业化等方面的示范、试点或资质认定等。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2569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70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近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年承担过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国家、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省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部级科研项目。</w:t>
            </w:r>
          </w:p>
        </w:tc>
        <w:tc>
          <w:tcPr>
            <w:tcW w:w="8298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近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年承担过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有关领域具有影响力的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国家、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省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部级科研项目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及工作任务。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2569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70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近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年承担过国家、行业标准制修订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及计量技术规范制修订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项目。</w:t>
            </w:r>
          </w:p>
        </w:tc>
        <w:tc>
          <w:tcPr>
            <w:tcW w:w="3975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近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承担过国家、行业或地方的政策咨询、产业链供应链、知识产权等方面的软课题研究。</w:t>
            </w:r>
          </w:p>
        </w:tc>
        <w:tc>
          <w:tcPr>
            <w:tcW w:w="4323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近3年承担过科技成果转化相关的标准制定及课题研究。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569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70" w:type="dxa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近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年有已申请和获得授权的国内外专利、集成电路布图设计专有权以及软件著作权等。</w:t>
            </w:r>
          </w:p>
        </w:tc>
        <w:tc>
          <w:tcPr>
            <w:tcW w:w="3975" w:type="dxa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近3年发布过行业（产业）相关研究报告，重点领域知识产权研究报告。</w:t>
            </w:r>
          </w:p>
        </w:tc>
        <w:tc>
          <w:tcPr>
            <w:tcW w:w="4323" w:type="dxa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近3年发布过成果转化或产业化相关研究报告。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2569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70" w:type="dxa"/>
            <w:vMerge w:val="restart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近</w:t>
            </w: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年为一定数量的企业提供试验验证等相关服务。</w:t>
            </w:r>
          </w:p>
        </w:tc>
        <w:tc>
          <w:tcPr>
            <w:tcW w:w="3975" w:type="dxa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近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为一定数量的企业提供产业信息、知识产权等相关服务。</w:t>
            </w:r>
          </w:p>
        </w:tc>
        <w:tc>
          <w:tcPr>
            <w:tcW w:w="4323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近3年为一定数量的企业提供创新成果产业化相关服务（供需对接、技术交易、中试熟化等）。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569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170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975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323" w:type="dxa"/>
            <w:vAlign w:val="center"/>
          </w:tcPr>
          <w:p>
            <w:pPr>
              <w:spacing w:line="320" w:lineRule="exact"/>
              <w:jc w:val="both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近3年推动了一定数量的成果实现了产业化。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569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近3年获得国家、省、部级相关奖项。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569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468" w:type="dxa"/>
            <w:gridSpan w:val="3"/>
            <w:vAlign w:val="center"/>
          </w:tcPr>
          <w:p>
            <w:pPr>
              <w:spacing w:line="320" w:lineRule="exact"/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近3年为行业提供多次学术交流、人才和技能培训等服务。</w:t>
            </w:r>
          </w:p>
        </w:tc>
      </w:tr>
    </w:tbl>
    <w:p>
      <w:pPr>
        <w:pStyle w:val="2"/>
        <w:tabs>
          <w:tab w:val="left" w:pos="7600"/>
        </w:tabs>
        <w:spacing w:line="720" w:lineRule="exact"/>
        <w:jc w:val="both"/>
        <w:rPr>
          <w:rFonts w:hint="eastAsia"/>
          <w:color w:val="auto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021CA"/>
    <w:rsid w:val="01FB36E6"/>
    <w:rsid w:val="08CF70F6"/>
    <w:rsid w:val="115118F4"/>
    <w:rsid w:val="121A09A0"/>
    <w:rsid w:val="14747D37"/>
    <w:rsid w:val="14FF0B69"/>
    <w:rsid w:val="19CB640B"/>
    <w:rsid w:val="19F839D4"/>
    <w:rsid w:val="1A9B36B7"/>
    <w:rsid w:val="1BA102BF"/>
    <w:rsid w:val="1CE94FE3"/>
    <w:rsid w:val="1F927CEE"/>
    <w:rsid w:val="20284911"/>
    <w:rsid w:val="20D33C93"/>
    <w:rsid w:val="20F44A5F"/>
    <w:rsid w:val="25F72342"/>
    <w:rsid w:val="2B24331C"/>
    <w:rsid w:val="2CFA0643"/>
    <w:rsid w:val="2D44168A"/>
    <w:rsid w:val="306D4B6D"/>
    <w:rsid w:val="30CC77D7"/>
    <w:rsid w:val="31153E74"/>
    <w:rsid w:val="32982DA9"/>
    <w:rsid w:val="35E50F86"/>
    <w:rsid w:val="39B17712"/>
    <w:rsid w:val="3C377F7B"/>
    <w:rsid w:val="3D7566BD"/>
    <w:rsid w:val="403F65FB"/>
    <w:rsid w:val="44714965"/>
    <w:rsid w:val="454C227A"/>
    <w:rsid w:val="4FF25005"/>
    <w:rsid w:val="53A653EB"/>
    <w:rsid w:val="54F416A5"/>
    <w:rsid w:val="558675B8"/>
    <w:rsid w:val="56B01B90"/>
    <w:rsid w:val="5B656D86"/>
    <w:rsid w:val="60F717AA"/>
    <w:rsid w:val="61D23F4E"/>
    <w:rsid w:val="63DE41B2"/>
    <w:rsid w:val="65A96610"/>
    <w:rsid w:val="661E4582"/>
    <w:rsid w:val="69086350"/>
    <w:rsid w:val="6E97761C"/>
    <w:rsid w:val="6F1B2CED"/>
    <w:rsid w:val="70AB188D"/>
    <w:rsid w:val="71E730CF"/>
    <w:rsid w:val="72EA24F6"/>
    <w:rsid w:val="74F2525F"/>
    <w:rsid w:val="76E06299"/>
    <w:rsid w:val="76FD3782"/>
    <w:rsid w:val="795021CA"/>
    <w:rsid w:val="7BC77692"/>
    <w:rsid w:val="7E755D69"/>
    <w:rsid w:val="7EB149B6"/>
    <w:rsid w:val="7F226C60"/>
    <w:rsid w:val="EF6EBF6E"/>
    <w:rsid w:val="F67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Office_10.8.0.7149_F1E327BC-269C-435d-A152-05C5408002CA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2021-08-18T15:38:00Z</dcterms:created>
  <dc:creator>hp</dc:creator>
  <cp:lastModifiedBy>kylin</cp:lastModifiedBy>
  <dcterms:modified xsi:type="dcterms:W3CDTF">2023-09-06T09:59:55Z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