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正黑简体" w:cs="Times New Roman"/>
          <w:sz w:val="36"/>
          <w:szCs w:val="36"/>
          <w:lang w:eastAsia="zh-CN"/>
        </w:rPr>
        <w:t>津武政备【</w:t>
      </w:r>
      <w:r>
        <w:rPr>
          <w:rFonts w:hint="default" w:ascii="Times New Roman" w:hAnsi="Times New Roman" w:eastAsia="方正正黑简体" w:cs="Times New Roman"/>
          <w:sz w:val="36"/>
          <w:szCs w:val="36"/>
          <w:lang w:val="en-US" w:eastAsia="zh-CN"/>
        </w:rPr>
        <w:t>202</w:t>
      </w:r>
      <w:r>
        <w:rPr>
          <w:rFonts w:hint="default" w:ascii="Times New Roman" w:hAnsi="Times New Roman" w:eastAsia="方正正黑简体" w:cs="Times New Roman"/>
          <w:sz w:val="36"/>
          <w:szCs w:val="36"/>
          <w:lang w:val="en" w:eastAsia="zh-CN"/>
        </w:rPr>
        <w:t>3</w:t>
      </w:r>
      <w:r>
        <w:rPr>
          <w:rFonts w:hint="default" w:ascii="Times New Roman" w:hAnsi="Times New Roman" w:eastAsia="方正正黑简体" w:cs="Times New Roman"/>
          <w:sz w:val="36"/>
          <w:szCs w:val="36"/>
          <w:lang w:eastAsia="zh-CN"/>
        </w:rPr>
        <w:t>】-2-</w:t>
      </w:r>
      <w:r>
        <w:rPr>
          <w:rFonts w:hint="eastAsia" w:ascii="Times New Roman" w:hAnsi="Times New Roman" w:eastAsia="方正正黑简体" w:cs="Times New Roman"/>
          <w:sz w:val="36"/>
          <w:szCs w:val="36"/>
          <w:lang w:val="en-US" w:eastAsia="zh-CN"/>
        </w:rPr>
        <w:t>113</w:t>
      </w:r>
      <w:bookmarkStart w:id="0" w:name="_GoBack"/>
      <w:bookmarkEnd w:id="0"/>
      <w:r>
        <w:rPr>
          <w:rFonts w:hint="default" w:ascii="Times New Roman" w:hAnsi="Times New Roman" w:eastAsia="方正正黑简体" w:cs="Times New Roman"/>
          <w:sz w:val="36"/>
          <w:szCs w:val="36"/>
          <w:lang w:val="en-US" w:eastAsia="zh-CN"/>
        </w:rPr>
        <w:t>号</w:t>
      </w:r>
      <w:r>
        <w:rPr>
          <w:rFonts w:hint="default" w:ascii="Times New Roman" w:hAnsi="Times New Roman" w:cs="Times New Roman"/>
          <w:u w:val="thick" w:color="FF0000"/>
        </w:rPr>
        <w:pict>
          <v:shape id="_x0000_i1025" o:spt="136" type="#_x0000_t136" style="height:36.75pt;width:435.4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2pt;v-text-align:center;"/>
            <w10:wrap type="none"/>
            <w10:anchorlock/>
          </v:shape>
        </w:pic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sz w:val="43"/>
          <w:szCs w:val="43"/>
        </w:rPr>
      </w:pP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sz w:val="43"/>
          <w:szCs w:val="43"/>
        </w:rPr>
      </w:pPr>
      <w:r>
        <w:rPr>
          <w:rFonts w:hint="default" w:ascii="Times New Roman" w:hAnsi="Times New Roman" w:eastAsia="方正小标宋简体" w:cs="Times New Roman"/>
          <w:sz w:val="43"/>
          <w:szCs w:val="43"/>
        </w:rPr>
        <w:t>关于开展第五批专精特新“小巨人”企业培育和第二批专精特新“小巨人”企业复核</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right="0"/>
        <w:jc w:val="center"/>
        <w:textAlignment w:val="auto"/>
        <w:rPr>
          <w:rFonts w:hint="default" w:ascii="Times New Roman" w:hAnsi="Times New Roman" w:cs="Times New Roman"/>
        </w:rPr>
      </w:pPr>
      <w:r>
        <w:rPr>
          <w:rFonts w:hint="default" w:ascii="Times New Roman" w:hAnsi="Times New Roman" w:eastAsia="方正小标宋简体" w:cs="Times New Roman"/>
          <w:sz w:val="43"/>
          <w:szCs w:val="43"/>
        </w:rPr>
        <w:t>工作的通知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各镇街、园区</w:t>
      </w:r>
      <w:r>
        <w:rPr>
          <w:rFonts w:hint="default" w:ascii="Times New Roman" w:hAnsi="Times New Roman" w:eastAsia="仿宋_GB2312" w:cs="Times New Roman"/>
          <w:sz w:val="32"/>
          <w:szCs w:val="32"/>
        </w:rPr>
        <w:t>：</w:t>
      </w:r>
    </w:p>
    <w:p>
      <w:pPr>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left"/>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lang w:val="en-US" w:eastAsia="zh-CN" w:bidi="ar"/>
        </w:rPr>
        <w:t xml:space="preserve">    按照市工信局《关于开展第五批专精特新“小巨人”企业培育和第二批专精特新“小巨人”企业复核工作的通知》（津工信中小企服〔2023〕4号）要求，现组织开展第五批专精特新“小巨人”企业培育和第二批专精特新“小巨人”企业复核工作，有关事项通知如下：</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00"/>
        <w:textAlignment w:val="auto"/>
        <w:rPr>
          <w:rFonts w:hint="default" w:ascii="Times New Roman" w:hAnsi="Times New Roman" w:cs="Times New Roman"/>
          <w:b w:val="0"/>
          <w:bCs w:val="0"/>
        </w:rPr>
      </w:pPr>
      <w:r>
        <w:rPr>
          <w:rFonts w:hint="default" w:ascii="Times New Roman" w:hAnsi="Times New Roman" w:eastAsia="黑体" w:cs="Times New Roman"/>
          <w:b w:val="0"/>
          <w:bCs w:val="0"/>
          <w:sz w:val="31"/>
          <w:szCs w:val="31"/>
        </w:rPr>
        <w:t>一、申报和复核条件</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15"/>
        <w:jc w:val="both"/>
        <w:textAlignment w:val="auto"/>
        <w:rPr>
          <w:rFonts w:hint="default" w:ascii="Times New Roman" w:hAnsi="Times New Roman" w:cs="Times New Roman"/>
          <w:b/>
          <w:bCs/>
        </w:rPr>
      </w:pPr>
      <w:r>
        <w:rPr>
          <w:rFonts w:hint="default" w:ascii="Times New Roman" w:hAnsi="Times New Roman" w:eastAsia="楷体_GB2312" w:cs="Times New Roman"/>
          <w:b/>
          <w:bCs/>
          <w:sz w:val="31"/>
          <w:szCs w:val="31"/>
        </w:rPr>
        <w:t>（一）申报和复核企业必须符合以下条件：</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1. 具有独立法人资格，符合《中小企业划型标准规定》。</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2. 企业未被列入经营异常名录或严重失信主体名单，提供的产品（服务）不属于国家禁止、限制或淘汰类，同时近三年未发生重大安全（含网络安全、数据安全）、质量、环境污染等事故以及偷漏税等违法违规行为</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“被列入经营异常名录”以国家企业信用信息公示系统（</w:t>
      </w:r>
      <w:r>
        <w:rPr>
          <w:rFonts w:hint="default" w:ascii="Times New Roman" w:hAnsi="Times New Roman" w:cs="Times New Roman"/>
          <w:sz w:val="31"/>
          <w:szCs w:val="31"/>
        </w:rPr>
        <w:t>http://www.gsxt.gov.cn</w:t>
      </w:r>
      <w:r>
        <w:rPr>
          <w:rFonts w:hint="default" w:ascii="Times New Roman" w:hAnsi="Times New Roman" w:eastAsia="仿宋_GB2312" w:cs="Times New Roman"/>
          <w:sz w:val="31"/>
          <w:szCs w:val="31"/>
        </w:rPr>
        <w:t>）查询结果为准；“严重失信主体名单”以信用中国（</w:t>
      </w:r>
      <w:r>
        <w:rPr>
          <w:rFonts w:hint="default" w:ascii="Times New Roman" w:hAnsi="Times New Roman" w:cs="Times New Roman"/>
          <w:sz w:val="31"/>
          <w:szCs w:val="31"/>
        </w:rPr>
        <w:t>http://www.creditchina.gov.cn</w:t>
      </w:r>
      <w:r>
        <w:rPr>
          <w:rFonts w:hint="default" w:ascii="Times New Roman" w:hAnsi="Times New Roman" w:eastAsia="仿宋_GB2312" w:cs="Times New Roman"/>
          <w:sz w:val="31"/>
          <w:szCs w:val="31"/>
        </w:rPr>
        <w:t>）查询结果为准。</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对于已成为工业和信息化部制造业单项冠军示范企业或单项冠军产品的企业，不再推荐申请第五批专精特新“小巨人”企业（市级制造业单项冠军企业可以申报）；对于与工业和信息化部已认定的专精特新“小巨人”企业存在控股关系（持股</w:t>
      </w:r>
      <w:r>
        <w:rPr>
          <w:rFonts w:hint="default" w:ascii="Times New Roman" w:hAnsi="Times New Roman" w:cs="Times New Roman"/>
          <w:sz w:val="31"/>
          <w:szCs w:val="31"/>
        </w:rPr>
        <w:t>/</w:t>
      </w:r>
      <w:r>
        <w:rPr>
          <w:rFonts w:hint="default" w:ascii="Times New Roman" w:hAnsi="Times New Roman" w:eastAsia="仿宋_GB2312" w:cs="Times New Roman"/>
          <w:sz w:val="31"/>
          <w:szCs w:val="31"/>
        </w:rPr>
        <w:t>被持股比例超过</w:t>
      </w:r>
      <w:r>
        <w:rPr>
          <w:rFonts w:hint="default" w:ascii="Times New Roman" w:hAnsi="Times New Roman" w:cs="Times New Roman"/>
          <w:sz w:val="31"/>
          <w:szCs w:val="31"/>
        </w:rPr>
        <w:t>50%</w:t>
      </w:r>
      <w:r>
        <w:rPr>
          <w:rFonts w:hint="default" w:ascii="Times New Roman" w:hAnsi="Times New Roman" w:eastAsia="仿宋_GB2312" w:cs="Times New Roman"/>
          <w:sz w:val="31"/>
          <w:szCs w:val="31"/>
        </w:rPr>
        <w:t>）的企业，以及同一集团内生产相似主导产品的企业，不予推荐。</w:t>
      </w:r>
    </w:p>
    <w:p>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楷体_GB2312" w:cs="Times New Roman"/>
          <w:b/>
          <w:bCs/>
          <w:sz w:val="31"/>
          <w:szCs w:val="31"/>
        </w:rPr>
        <w:t>（二）专精特新</w:t>
      </w:r>
      <w:r>
        <w:rPr>
          <w:rFonts w:hint="default" w:ascii="Times New Roman" w:hAnsi="Times New Roman" w:eastAsia="楷体_GB2312" w:cs="Times New Roman"/>
          <w:b/>
          <w:bCs/>
          <w:sz w:val="31"/>
          <w:szCs w:val="31"/>
          <w:lang w:eastAsia="zh-CN"/>
        </w:rPr>
        <w:t>“</w:t>
      </w:r>
      <w:r>
        <w:rPr>
          <w:rFonts w:hint="default" w:ascii="Times New Roman" w:hAnsi="Times New Roman" w:eastAsia="楷体_GB2312" w:cs="Times New Roman"/>
          <w:b/>
          <w:bCs/>
          <w:sz w:val="31"/>
          <w:szCs w:val="31"/>
        </w:rPr>
        <w:t>小巨人</w:t>
      </w:r>
      <w:r>
        <w:rPr>
          <w:rFonts w:hint="default" w:ascii="Times New Roman" w:hAnsi="Times New Roman" w:eastAsia="楷体_GB2312" w:cs="Times New Roman"/>
          <w:b/>
          <w:bCs/>
          <w:sz w:val="31"/>
          <w:szCs w:val="31"/>
          <w:lang w:eastAsia="zh-CN"/>
        </w:rPr>
        <w:t>”</w:t>
      </w:r>
      <w:r>
        <w:rPr>
          <w:rFonts w:hint="default" w:ascii="Times New Roman" w:hAnsi="Times New Roman" w:eastAsia="楷体_GB2312" w:cs="Times New Roman"/>
          <w:b/>
          <w:bCs/>
          <w:sz w:val="31"/>
          <w:szCs w:val="31"/>
        </w:rPr>
        <w:t>企业需同时满足专、精、特、新、链、品六个方面指标。</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b w:val="0"/>
          <w:sz w:val="31"/>
          <w:szCs w:val="31"/>
        </w:rPr>
        <w:t>1.专业化指标</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sz w:val="31"/>
          <w:szCs w:val="31"/>
        </w:rPr>
      </w:pPr>
      <w:r>
        <w:rPr>
          <w:rFonts w:hint="default" w:ascii="Times New Roman" w:hAnsi="Times New Roman" w:eastAsia="仿宋_GB2312" w:cs="Times New Roman"/>
          <w:sz w:val="31"/>
          <w:szCs w:val="31"/>
        </w:rPr>
        <w:t>  坚持专业化发展道路，长期专注并深耕于产业链某一环节或某一产品。截至上年末，企业从事特定细分市场时间达到3年以上，主营业务收入总额占营业收入总额比重不低于70%，近2年主营业务收入平均增长率不低于5%。</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b w:val="0"/>
          <w:sz w:val="31"/>
          <w:szCs w:val="31"/>
          <w:lang w:val="en-US" w:eastAsia="zh-CN"/>
        </w:rPr>
        <w:t>2.</w:t>
      </w:r>
      <w:r>
        <w:rPr>
          <w:rFonts w:hint="default" w:ascii="Times New Roman" w:hAnsi="Times New Roman" w:eastAsia="仿宋_GB2312" w:cs="Times New Roman"/>
          <w:b w:val="0"/>
          <w:sz w:val="31"/>
          <w:szCs w:val="31"/>
        </w:rPr>
        <w:t>精细化指标</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sz w:val="31"/>
          <w:szCs w:val="31"/>
        </w:rPr>
      </w:pPr>
      <w:r>
        <w:rPr>
          <w:rFonts w:hint="default" w:ascii="Times New Roman" w:hAnsi="Times New Roman" w:eastAsia="仿宋_GB2312" w:cs="Times New Roman"/>
          <w:sz w:val="31"/>
          <w:szCs w:val="31"/>
        </w:rPr>
        <w:t>  重视并实施长期发展战略，公司治理规范、信誉良好、社会责任感强，生产技术、工艺及产品质量性能国内领先，注重数字化、绿色化发展，在研发设计、生产制造、供应链管理等环节，至少1项核心业务采用信息系统支撑。取得相关管理体系认证，或产品通过发达国家和地区产品认证（国际标准协会行业认证）。截至上年末，企业资产负债率不高于70%。</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b w:val="0"/>
          <w:sz w:val="31"/>
          <w:szCs w:val="31"/>
        </w:rPr>
        <w:t>3.特色化指标</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技术和产品有自身独特优势，主导产品（企业核心技术在产品中发挥重要作用，且产品收入之和占企业同期营业收入比重超过</w:t>
      </w:r>
      <w:r>
        <w:rPr>
          <w:rFonts w:hint="default" w:ascii="Times New Roman" w:hAnsi="Times New Roman" w:cs="Times New Roman"/>
          <w:sz w:val="31"/>
          <w:szCs w:val="31"/>
        </w:rPr>
        <w:t>50%</w:t>
      </w:r>
      <w:r>
        <w:rPr>
          <w:rFonts w:hint="default" w:ascii="Times New Roman" w:hAnsi="Times New Roman" w:eastAsia="仿宋_GB2312" w:cs="Times New Roman"/>
          <w:sz w:val="31"/>
          <w:szCs w:val="31"/>
        </w:rPr>
        <w:t>）在全国细分市场占有率达到</w:t>
      </w:r>
      <w:r>
        <w:rPr>
          <w:rFonts w:hint="default" w:ascii="Times New Roman" w:hAnsi="Times New Roman" w:cs="Times New Roman"/>
          <w:sz w:val="31"/>
          <w:szCs w:val="31"/>
        </w:rPr>
        <w:t>10%</w:t>
      </w:r>
      <w:r>
        <w:rPr>
          <w:rFonts w:hint="default" w:ascii="Times New Roman" w:hAnsi="Times New Roman" w:eastAsia="仿宋_GB2312" w:cs="Times New Roman"/>
          <w:sz w:val="31"/>
          <w:szCs w:val="31"/>
        </w:rPr>
        <w:t>以上，且享有较高知名度和影响力。拥有直接面向市场并具有竞争优势的自主品牌（主营业务产品或服务具有自主知识产权，产品或服务品牌已经国家知识产权局商标局正式注册或产品或服务已经实现收入）。</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b w:val="0"/>
          <w:sz w:val="31"/>
          <w:szCs w:val="31"/>
        </w:rPr>
        <w:t>4.创新能力指标</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满足（1）一般性条件或（2）创新直通条件。</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（1）一般性条件。需同时满足以下三项：</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15"/>
        <w:jc w:val="both"/>
        <w:textAlignment w:val="auto"/>
        <w:rPr>
          <w:rFonts w:hint="default" w:ascii="Times New Roman" w:hAnsi="Times New Roman" w:cs="Times New Roman"/>
        </w:rPr>
      </w:pPr>
      <w:r>
        <w:rPr>
          <w:rFonts w:hint="default" w:ascii="Times New Roman" w:hAnsi="Times New Roman" w:cs="Times New Roman"/>
          <w:sz w:val="31"/>
          <w:szCs w:val="31"/>
        </w:rPr>
        <w:t>①</w:t>
      </w:r>
      <w:r>
        <w:rPr>
          <w:rFonts w:hint="default" w:ascii="Times New Roman" w:hAnsi="Times New Roman" w:eastAsia="仿宋_GB2312" w:cs="Times New Roman"/>
          <w:sz w:val="31"/>
          <w:szCs w:val="31"/>
        </w:rPr>
        <w:t>上年度营业收入总额在</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亿元以上的企业，近</w:t>
      </w:r>
      <w:r>
        <w:rPr>
          <w:rFonts w:hint="default" w:ascii="Times New Roman" w:hAnsi="Times New Roman" w:cs="Times New Roman"/>
          <w:sz w:val="31"/>
          <w:szCs w:val="31"/>
        </w:rPr>
        <w:t>2</w:t>
      </w:r>
      <w:r>
        <w:rPr>
          <w:rFonts w:hint="default" w:ascii="Times New Roman" w:hAnsi="Times New Roman" w:eastAsia="仿宋_GB2312" w:cs="Times New Roman"/>
          <w:sz w:val="31"/>
          <w:szCs w:val="31"/>
        </w:rPr>
        <w:t>年研发费用总额占营业收入总额比重均不低于</w:t>
      </w:r>
      <w:r>
        <w:rPr>
          <w:rFonts w:hint="default" w:ascii="Times New Roman" w:hAnsi="Times New Roman" w:cs="Times New Roman"/>
          <w:sz w:val="31"/>
          <w:szCs w:val="31"/>
        </w:rPr>
        <w:t>3%</w:t>
      </w:r>
      <w:r>
        <w:rPr>
          <w:rFonts w:hint="default" w:ascii="Times New Roman" w:hAnsi="Times New Roman" w:eastAsia="仿宋_GB2312" w:cs="Times New Roman"/>
          <w:sz w:val="31"/>
          <w:szCs w:val="31"/>
        </w:rPr>
        <w:t>；</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上年度营业收入总额在</w:t>
      </w:r>
      <w:r>
        <w:rPr>
          <w:rFonts w:hint="default" w:ascii="Times New Roman" w:hAnsi="Times New Roman" w:cs="Times New Roman"/>
          <w:sz w:val="31"/>
          <w:szCs w:val="31"/>
        </w:rPr>
        <w:t>5000</w:t>
      </w:r>
      <w:r>
        <w:rPr>
          <w:rFonts w:hint="default" w:ascii="Times New Roman" w:hAnsi="Times New Roman" w:eastAsia="仿宋_GB2312" w:cs="Times New Roman"/>
          <w:sz w:val="31"/>
          <w:szCs w:val="31"/>
        </w:rPr>
        <w:t>万元</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亿元的企业，近</w:t>
      </w:r>
      <w:r>
        <w:rPr>
          <w:rFonts w:hint="default" w:ascii="Times New Roman" w:hAnsi="Times New Roman" w:cs="Times New Roman"/>
          <w:sz w:val="31"/>
          <w:szCs w:val="31"/>
        </w:rPr>
        <w:t>2</w:t>
      </w:r>
      <w:r>
        <w:rPr>
          <w:rFonts w:hint="default" w:ascii="Times New Roman" w:hAnsi="Times New Roman" w:eastAsia="仿宋_GB2312" w:cs="Times New Roman"/>
          <w:sz w:val="31"/>
          <w:szCs w:val="31"/>
        </w:rPr>
        <w:t>年研发费用总额占营业收入总额比重均不低于</w:t>
      </w:r>
      <w:r>
        <w:rPr>
          <w:rFonts w:hint="default" w:ascii="Times New Roman" w:hAnsi="Times New Roman" w:cs="Times New Roman"/>
          <w:sz w:val="31"/>
          <w:szCs w:val="31"/>
        </w:rPr>
        <w:t>6%</w:t>
      </w:r>
      <w:r>
        <w:rPr>
          <w:rFonts w:hint="default" w:ascii="Times New Roman" w:hAnsi="Times New Roman" w:eastAsia="仿宋_GB2312" w:cs="Times New Roman"/>
          <w:sz w:val="31"/>
          <w:szCs w:val="31"/>
        </w:rPr>
        <w:t>；</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righ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上年度营业收入总额在</w:t>
      </w:r>
      <w:r>
        <w:rPr>
          <w:rFonts w:hint="default" w:ascii="Times New Roman" w:hAnsi="Times New Roman" w:cs="Times New Roman"/>
          <w:sz w:val="31"/>
          <w:szCs w:val="31"/>
        </w:rPr>
        <w:t>5000</w:t>
      </w:r>
      <w:r>
        <w:rPr>
          <w:rFonts w:hint="default" w:ascii="Times New Roman" w:hAnsi="Times New Roman" w:eastAsia="仿宋_GB2312" w:cs="Times New Roman"/>
          <w:sz w:val="31"/>
          <w:szCs w:val="31"/>
        </w:rPr>
        <w:t>万元以下的企业，同时满足近</w:t>
      </w:r>
      <w:r>
        <w:rPr>
          <w:rFonts w:hint="default" w:ascii="Times New Roman" w:hAnsi="Times New Roman" w:cs="Times New Roman"/>
          <w:sz w:val="31"/>
          <w:szCs w:val="31"/>
        </w:rPr>
        <w:t>2</w:t>
      </w:r>
      <w:r>
        <w:rPr>
          <w:rFonts w:hint="default" w:ascii="Times New Roman" w:hAnsi="Times New Roman" w:eastAsia="仿宋_GB2312" w:cs="Times New Roman"/>
          <w:sz w:val="31"/>
          <w:szCs w:val="31"/>
        </w:rPr>
        <w:t>年新增股权融资（指公司股东稀释部分公司股权给投资人，以出让股权不超过</w:t>
      </w:r>
      <w:r>
        <w:rPr>
          <w:rFonts w:hint="default" w:ascii="Times New Roman" w:hAnsi="Times New Roman" w:cs="Times New Roman"/>
          <w:sz w:val="31"/>
          <w:szCs w:val="31"/>
        </w:rPr>
        <w:t>30%</w:t>
      </w:r>
      <w:r>
        <w:rPr>
          <w:rFonts w:hint="default" w:ascii="Times New Roman" w:hAnsi="Times New Roman" w:eastAsia="仿宋_GB2312" w:cs="Times New Roman"/>
          <w:sz w:val="31"/>
          <w:szCs w:val="31"/>
        </w:rPr>
        <w:t>的方式引进新的股东，增资扩股）总额</w:t>
      </w:r>
      <w:r>
        <w:rPr>
          <w:rFonts w:hint="default" w:ascii="Times New Roman" w:hAnsi="Times New Roman" w:cs="Times New Roman"/>
          <w:sz w:val="31"/>
          <w:szCs w:val="31"/>
        </w:rPr>
        <w:t>8000</w:t>
      </w:r>
      <w:r>
        <w:rPr>
          <w:rFonts w:hint="default" w:ascii="Times New Roman" w:hAnsi="Times New Roman" w:eastAsia="仿宋_GB2312" w:cs="Times New Roman"/>
          <w:sz w:val="31"/>
          <w:szCs w:val="31"/>
        </w:rPr>
        <w:t>万元以上（合格机构投资者的实缴额，投资者符合《创业投资企业管理暂行办法》或者《私募投资基金监督管理暂行办法》相关规定，按照上述规定完成备案且规范运作的创业投资基金及私募股权投资基金），且研发费用总额</w:t>
      </w:r>
      <w:r>
        <w:rPr>
          <w:rFonts w:hint="default" w:ascii="Times New Roman" w:hAnsi="Times New Roman" w:cs="Times New Roman"/>
          <w:sz w:val="31"/>
          <w:szCs w:val="31"/>
        </w:rPr>
        <w:t>3000</w:t>
      </w:r>
      <w:r>
        <w:rPr>
          <w:rFonts w:hint="default" w:ascii="Times New Roman" w:hAnsi="Times New Roman" w:eastAsia="仿宋_GB2312" w:cs="Times New Roman"/>
          <w:sz w:val="31"/>
          <w:szCs w:val="31"/>
        </w:rPr>
        <w:t>万元以上、研发人员占企业职工总数比重</w:t>
      </w:r>
      <w:r>
        <w:rPr>
          <w:rFonts w:hint="default" w:ascii="Times New Roman" w:hAnsi="Times New Roman" w:cs="Times New Roman"/>
          <w:sz w:val="31"/>
          <w:szCs w:val="31"/>
        </w:rPr>
        <w:t>50%</w:t>
      </w:r>
      <w:r>
        <w:rPr>
          <w:rFonts w:hint="default" w:ascii="Times New Roman" w:hAnsi="Times New Roman" w:eastAsia="仿宋_GB2312" w:cs="Times New Roman"/>
          <w:sz w:val="31"/>
          <w:szCs w:val="31"/>
        </w:rPr>
        <w:t>以上。</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cs="Times New Roman"/>
          <w:sz w:val="31"/>
          <w:szCs w:val="31"/>
        </w:rPr>
        <w:t>②</w:t>
      </w:r>
      <w:r>
        <w:rPr>
          <w:rFonts w:hint="default" w:ascii="Times New Roman" w:hAnsi="Times New Roman" w:eastAsia="仿宋_GB2312" w:cs="Times New Roman"/>
          <w:sz w:val="31"/>
          <w:szCs w:val="31"/>
        </w:rPr>
        <w:t>自建或与高等院校、科研机构联合建立研发机构，设立技术研究院、企业技术中心、企业工程中心、院士专家工作站、博士后工作站等。</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rPr>
      </w:pPr>
      <w:r>
        <w:rPr>
          <w:rFonts w:hint="default" w:ascii="Times New Roman" w:hAnsi="Times New Roman" w:cs="Times New Roman"/>
          <w:sz w:val="31"/>
          <w:szCs w:val="31"/>
        </w:rPr>
        <w:t>    ③</w:t>
      </w:r>
      <w:r>
        <w:rPr>
          <w:rFonts w:hint="default" w:ascii="Times New Roman" w:hAnsi="Times New Roman" w:eastAsia="仿宋_GB2312" w:cs="Times New Roman"/>
          <w:sz w:val="31"/>
          <w:szCs w:val="31"/>
        </w:rPr>
        <w:t>拥有</w:t>
      </w:r>
      <w:r>
        <w:rPr>
          <w:rFonts w:hint="default" w:ascii="Times New Roman" w:hAnsi="Times New Roman" w:cs="Times New Roman"/>
          <w:sz w:val="31"/>
          <w:szCs w:val="31"/>
        </w:rPr>
        <w:t>2</w:t>
      </w:r>
      <w:r>
        <w:rPr>
          <w:rFonts w:hint="default" w:ascii="Times New Roman" w:hAnsi="Times New Roman" w:eastAsia="仿宋_GB2312" w:cs="Times New Roman"/>
          <w:sz w:val="31"/>
          <w:szCs w:val="31"/>
        </w:rPr>
        <w:t>项以上与主导产品相关的</w:t>
      </w:r>
      <w:r>
        <w:rPr>
          <w:rFonts w:hint="default" w:ascii="Times New Roman" w:hAnsi="Times New Roman" w:cs="Times New Roman"/>
          <w:sz w:val="31"/>
          <w:szCs w:val="31"/>
        </w:rPr>
        <w:t>Ⅰ</w:t>
      </w:r>
      <w:r>
        <w:rPr>
          <w:rFonts w:hint="default" w:ascii="Times New Roman" w:hAnsi="Times New Roman" w:eastAsia="仿宋_GB2312" w:cs="Times New Roman"/>
          <w:sz w:val="31"/>
          <w:szCs w:val="31"/>
        </w:rPr>
        <w:t>类知识产权，且实际应用并已产生经济效益。“</w:t>
      </w:r>
      <w:r>
        <w:rPr>
          <w:rFonts w:hint="default" w:ascii="Times New Roman" w:hAnsi="Times New Roman" w:cs="Times New Roman"/>
          <w:sz w:val="31"/>
          <w:szCs w:val="31"/>
        </w:rPr>
        <w:t>Ⅰ</w:t>
      </w:r>
      <w:r>
        <w:rPr>
          <w:rFonts w:hint="default" w:ascii="Times New Roman" w:hAnsi="Times New Roman" w:eastAsia="仿宋_GB2312" w:cs="Times New Roman"/>
          <w:sz w:val="31"/>
          <w:szCs w:val="31"/>
        </w:rPr>
        <w:t>类知识产权”包括发明专利（含国防专利）、植物新品种、国家级农作物品种、国家新药、国家一级中药保护品种、集成电路布图设计专有权（均不包含转让未满</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年的知识产权）。</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lang w:val="en-US" w:eastAsia="zh-CN"/>
        </w:rPr>
        <w:t>2</w:t>
      </w:r>
      <w:r>
        <w:rPr>
          <w:rFonts w:hint="default"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创新直通条件。满足以下一项即可：</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cs="Times New Roman"/>
          <w:sz w:val="31"/>
          <w:szCs w:val="31"/>
        </w:rPr>
        <w:t>①</w:t>
      </w:r>
      <w:r>
        <w:rPr>
          <w:rFonts w:hint="default" w:ascii="Times New Roman" w:hAnsi="Times New Roman" w:eastAsia="仿宋_GB2312" w:cs="Times New Roman"/>
          <w:sz w:val="31"/>
          <w:szCs w:val="31"/>
        </w:rPr>
        <w:t>近三年获得国家级科技奖励，并在获奖单位中排名前三。“国家级科技奖励”包括国家科学技术进步奖、国家自然科学奖、国家技术发明奖，以及国防科技奖。 </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cs="Times New Roman"/>
          <w:sz w:val="31"/>
          <w:szCs w:val="31"/>
        </w:rPr>
        <w:t>②</w:t>
      </w:r>
      <w:r>
        <w:rPr>
          <w:rFonts w:hint="default" w:ascii="Times New Roman" w:hAnsi="Times New Roman" w:eastAsia="仿宋_GB2312" w:cs="Times New Roman"/>
          <w:sz w:val="31"/>
          <w:szCs w:val="31"/>
        </w:rPr>
        <w:t>近三年进入“创客中国”中小企业创新创业大赛全国50强企业组名单。</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b w:val="0"/>
          <w:sz w:val="31"/>
          <w:szCs w:val="31"/>
        </w:rPr>
        <w:t>5.产业链配套指标</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sz w:val="31"/>
          <w:szCs w:val="31"/>
        </w:rPr>
      </w:pPr>
      <w:r>
        <w:rPr>
          <w:rFonts w:hint="default" w:ascii="Times New Roman" w:hAnsi="Times New Roman" w:eastAsia="仿宋_GB2312" w:cs="Times New Roman"/>
          <w:sz w:val="31"/>
          <w:szCs w:val="31"/>
        </w:rPr>
        <w:t>  位于产业链关键环节，围绕重点产业链实现关键基础技术和产品的产业化应用，发挥“补短板”“锻长板”“填空白”等重要作用。</w:t>
      </w:r>
    </w:p>
    <w:p>
      <w:pPr>
        <w:pStyle w:val="3"/>
        <w:keepNext w:val="0"/>
        <w:keepLines w:val="0"/>
        <w:pageBreakBefore w:val="0"/>
        <w:widowControl/>
        <w:suppressLineNumbers w:val="0"/>
        <w:kinsoku/>
        <w:wordWrap/>
        <w:overflowPunct/>
        <w:topLinePunct w:val="0"/>
        <w:autoSpaceDN/>
        <w:bidi w:val="0"/>
        <w:adjustRightInd/>
        <w:snapToGrid/>
        <w:spacing w:before="0" w:beforeAutospacing="0" w:after="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b w:val="0"/>
          <w:sz w:val="31"/>
          <w:szCs w:val="31"/>
        </w:rPr>
        <w:t>6.主导产品所属领域指标</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sz w:val="31"/>
          <w:szCs w:val="31"/>
        </w:rPr>
      </w:pPr>
      <w:r>
        <w:rPr>
          <w:rFonts w:hint="default" w:ascii="Times New Roman" w:hAnsi="Times New Roman" w:eastAsia="仿宋_GB2312" w:cs="Times New Roman"/>
          <w:sz w:val="31"/>
          <w:szCs w:val="31"/>
        </w:rPr>
        <w:t>  主导产品原则上属于以下重点领域：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eastAsia" w:ascii="Times New Roman" w:hAnsi="Times New Roman" w:eastAsia="黑体" w:cs="Times New Roman"/>
          <w:sz w:val="31"/>
          <w:szCs w:val="31"/>
          <w:lang w:eastAsia="zh-CN"/>
        </w:rPr>
        <w:t>二</w:t>
      </w:r>
      <w:r>
        <w:rPr>
          <w:rFonts w:hint="default" w:ascii="Times New Roman" w:hAnsi="Times New Roman" w:eastAsia="黑体" w:cs="Times New Roman"/>
          <w:sz w:val="31"/>
          <w:szCs w:val="31"/>
        </w:rPr>
        <w:t>、</w:t>
      </w:r>
      <w:r>
        <w:rPr>
          <w:rFonts w:hint="eastAsia" w:ascii="黑体" w:hAnsi="黑体" w:eastAsia="黑体" w:cs="黑体"/>
          <w:b w:val="0"/>
          <w:bCs w:val="0"/>
          <w:sz w:val="31"/>
          <w:szCs w:val="31"/>
        </w:rPr>
        <w:t>申报/复核企业申报方式和报送要求</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申报和复核采取线上填报与线下纸质材料（含电子版光盘）报送相结合的方式，线上与线下纸质材料数据应保持一致。</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1.线上申报</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申报和复核企业自2023年3月15日至4月10日期间登录优质中小企业梯度培育平台（zjtx.miit.gov.cn）在线填报并上传相应附件，参考线上填报佐证材料清单（附件1）。</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企业申报期间如遇账户密码找回、手机号变更等问题可咨询平台技术服务电话010-12381，接通后拨6再拨6转公共服务，并按要求办理，相关问题办理进度可联系022-23257931（仅限账户登录相关问题）。</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2.纸质材料</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cs="Times New Roman"/>
          <w:sz w:val="31"/>
          <w:szCs w:val="31"/>
        </w:rPr>
        <w:t>①</w:t>
      </w:r>
      <w:r>
        <w:rPr>
          <w:rFonts w:hint="default" w:ascii="Times New Roman" w:hAnsi="Times New Roman" w:eastAsia="仿宋_GB2312" w:cs="Times New Roman"/>
          <w:sz w:val="31"/>
          <w:szCs w:val="31"/>
        </w:rPr>
        <w:t>封皮可用申请书首页格式，加盖企业公章。</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cs="Times New Roman"/>
          <w:sz w:val="31"/>
          <w:szCs w:val="31"/>
        </w:rPr>
        <w:t>②</w:t>
      </w:r>
      <w:r>
        <w:rPr>
          <w:rFonts w:hint="default" w:ascii="Times New Roman" w:hAnsi="Times New Roman" w:eastAsia="仿宋_GB2312" w:cs="Times New Roman"/>
          <w:sz w:val="31"/>
          <w:szCs w:val="31"/>
        </w:rPr>
        <w:t>内页含目录、申请书（真实性声明位置法人签字或盖法人章、企业公章）、佐证材料（参考纸质佐证材料清单，附件2），使用A4纸双面印刷。</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其中，新申报企业填写附件3、附件5；参与复核企业填写附件6、附件8。</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cs="Times New Roman"/>
          <w:sz w:val="31"/>
          <w:szCs w:val="31"/>
        </w:rPr>
        <w:t>③</w:t>
      </w:r>
      <w:r>
        <w:rPr>
          <w:rFonts w:hint="default" w:ascii="Times New Roman" w:hAnsi="Times New Roman" w:eastAsia="仿宋_GB2312" w:cs="Times New Roman"/>
          <w:sz w:val="31"/>
          <w:szCs w:val="31"/>
        </w:rPr>
        <w:t>胶装平整且从目录页起从头至尾编写页码（可手写）。</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3.电子版材料</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电子版材料以光盘形式提供，内含可编辑的电子版申请书、盖章版申请书及佐证材料完整扫描件。</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4.汇总表电子版（可编辑，提供至</w:t>
      </w:r>
      <w:r>
        <w:rPr>
          <w:rFonts w:hint="eastAsia" w:ascii="Times New Roman" w:hAnsi="Times New Roman" w:eastAsia="仿宋_GB2312" w:cs="Times New Roman"/>
          <w:sz w:val="31"/>
          <w:szCs w:val="31"/>
          <w:lang w:eastAsia="zh-CN"/>
        </w:rPr>
        <w:t>区工信局</w:t>
      </w:r>
      <w:r>
        <w:rPr>
          <w:rFonts w:hint="default" w:ascii="Times New Roman" w:hAnsi="Times New Roman" w:eastAsia="仿宋_GB2312" w:cs="Times New Roman"/>
          <w:sz w:val="31"/>
          <w:szCs w:val="31"/>
        </w:rPr>
        <w:t>）</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其中，新申报企业填写附件4；参与复核企业填写附件7。</w:t>
      </w:r>
    </w:p>
    <w:p>
      <w:pPr>
        <w:pStyle w:val="11"/>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580" w:lineRule="exact"/>
        <w:ind w:left="615" w:leftChars="0" w:right="0" w:rightChars="0"/>
        <w:jc w:val="both"/>
        <w:textAlignment w:val="auto"/>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lang w:val="en-US" w:eastAsia="zh-CN"/>
        </w:rPr>
        <w:t>5.报送要求</w:t>
      </w:r>
    </w:p>
    <w:p>
      <w:pPr>
        <w:pStyle w:val="11"/>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580" w:lineRule="exact"/>
        <w:ind w:left="615" w:leftChars="0" w:right="0" w:rightChars="0"/>
        <w:jc w:val="both"/>
        <w:textAlignment w:val="auto"/>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rPr>
        <w:t>纸质材料一式</w:t>
      </w:r>
      <w:r>
        <w:rPr>
          <w:rFonts w:hint="eastAsia" w:ascii="Times New Roman" w:hAnsi="Times New Roman" w:eastAsia="仿宋_GB2312" w:cs="Times New Roman"/>
          <w:sz w:val="31"/>
          <w:szCs w:val="31"/>
          <w:lang w:eastAsia="zh-CN"/>
        </w:rPr>
        <w:t>三</w:t>
      </w:r>
      <w:r>
        <w:rPr>
          <w:rFonts w:hint="default" w:ascii="Times New Roman" w:hAnsi="Times New Roman" w:eastAsia="仿宋_GB2312" w:cs="Times New Roman"/>
          <w:sz w:val="31"/>
          <w:szCs w:val="31"/>
        </w:rPr>
        <w:t>份，</w:t>
      </w:r>
      <w:r>
        <w:rPr>
          <w:rFonts w:hint="default" w:ascii="Times New Roman" w:hAnsi="Times New Roman" w:eastAsia="仿宋_GB2312" w:cs="Times New Roman"/>
          <w:sz w:val="31"/>
          <w:szCs w:val="31"/>
          <w:lang w:eastAsia="zh-CN"/>
        </w:rPr>
        <w:t>电子光盘</w:t>
      </w:r>
      <w:r>
        <w:rPr>
          <w:rFonts w:hint="default" w:ascii="Times New Roman" w:hAnsi="Times New Roman" w:eastAsia="仿宋_GB2312" w:cs="Times New Roman"/>
          <w:sz w:val="31"/>
          <w:szCs w:val="31"/>
        </w:rPr>
        <w:t>一式</w:t>
      </w:r>
      <w:r>
        <w:rPr>
          <w:rFonts w:hint="eastAsia" w:ascii="Times New Roman" w:hAnsi="Times New Roman" w:eastAsia="仿宋_GB2312" w:cs="Times New Roman"/>
          <w:sz w:val="31"/>
          <w:szCs w:val="31"/>
          <w:lang w:eastAsia="zh-CN"/>
        </w:rPr>
        <w:t>两</w:t>
      </w:r>
      <w:r>
        <w:rPr>
          <w:rFonts w:hint="default" w:ascii="Times New Roman" w:hAnsi="Times New Roman" w:eastAsia="仿宋_GB2312" w:cs="Times New Roman"/>
          <w:sz w:val="31"/>
          <w:szCs w:val="31"/>
          <w:lang w:eastAsia="zh-CN"/>
        </w:rPr>
        <w:t>份，</w:t>
      </w:r>
      <w:r>
        <w:rPr>
          <w:rFonts w:hint="default" w:ascii="Times New Roman" w:hAnsi="Times New Roman" w:eastAsia="仿宋_GB2312" w:cs="Times New Roman"/>
          <w:sz w:val="31"/>
          <w:szCs w:val="31"/>
        </w:rPr>
        <w:t>报送</w:t>
      </w:r>
      <w:r>
        <w:rPr>
          <w:rFonts w:hint="default" w:ascii="Times New Roman" w:hAnsi="Times New Roman" w:eastAsia="仿宋_GB2312" w:cs="Times New Roman"/>
          <w:sz w:val="31"/>
          <w:szCs w:val="31"/>
          <w:lang w:eastAsia="zh-CN"/>
        </w:rPr>
        <w:t>区工信局产业政策科</w:t>
      </w:r>
      <w:r>
        <w:rPr>
          <w:rFonts w:hint="default" w:ascii="Times New Roman" w:hAnsi="Times New Roman" w:eastAsia="仿宋_GB2312" w:cs="Times New Roman"/>
          <w:sz w:val="31"/>
          <w:szCs w:val="31"/>
        </w:rPr>
        <w:t>。</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405"/>
        <w:jc w:val="both"/>
        <w:textAlignment w:val="auto"/>
        <w:rPr>
          <w:rFonts w:hint="default" w:ascii="Times New Roman" w:hAnsi="Times New Roman" w:eastAsia="黑体" w:cs="Times New Roman"/>
          <w:sz w:val="31"/>
          <w:szCs w:val="31"/>
        </w:rPr>
      </w:pPr>
      <w:r>
        <w:rPr>
          <w:rFonts w:hint="default" w:ascii="Times New Roman" w:hAnsi="Times New Roman" w:cs="Times New Roman"/>
          <w:sz w:val="21"/>
          <w:szCs w:val="21"/>
        </w:rPr>
        <w:t> </w:t>
      </w:r>
      <w:r>
        <w:rPr>
          <w:rFonts w:hint="default" w:ascii="Times New Roman" w:hAnsi="Times New Roman" w:cs="Times New Roman"/>
          <w:sz w:val="31"/>
          <w:szCs w:val="31"/>
        </w:rPr>
        <w:t> </w:t>
      </w:r>
      <w:r>
        <w:rPr>
          <w:rFonts w:hint="eastAsia" w:ascii="Times New Roman" w:hAnsi="Times New Roman" w:eastAsia="黑体" w:cs="Times New Roman"/>
          <w:sz w:val="31"/>
          <w:szCs w:val="31"/>
          <w:lang w:eastAsia="zh-CN"/>
        </w:rPr>
        <w:t>三</w:t>
      </w:r>
      <w:r>
        <w:rPr>
          <w:rFonts w:hint="default" w:ascii="Times New Roman" w:hAnsi="Times New Roman" w:eastAsia="黑体" w:cs="Times New Roman"/>
          <w:sz w:val="31"/>
          <w:szCs w:val="31"/>
        </w:rPr>
        <w:t>、其他事项</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40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（一）经认定的有效期内的天津市专精特新中小企业可申请第五批专精特新“小巨人”企业，第二批专精特新“小巨人”企业提出复核申请，相关申请均不收取任何费用。</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（二）工业和信息化部审核坚持公平公正，随机抽取专家，未委托任何机构开展培训，不需要也不建议通过任何中介机构辅助申请。企业只需如实填报，并提供资料即可。</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61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（三）专精特新“小巨人”企业实施动态管理，有效期为</w:t>
      </w:r>
      <w:r>
        <w:rPr>
          <w:rFonts w:hint="default" w:ascii="Times New Roman" w:hAnsi="Times New Roman" w:cs="Times New Roman"/>
          <w:sz w:val="31"/>
          <w:szCs w:val="31"/>
        </w:rPr>
        <w:t>3</w:t>
      </w:r>
      <w:r>
        <w:rPr>
          <w:rFonts w:hint="default" w:ascii="Times New Roman" w:hAnsi="Times New Roman" w:eastAsia="仿宋_GB2312" w:cs="Times New Roman"/>
          <w:sz w:val="31"/>
          <w:szCs w:val="31"/>
        </w:rPr>
        <w:t>年，工业和信息化部组织对入选满</w:t>
      </w:r>
      <w:r>
        <w:rPr>
          <w:rFonts w:hint="default" w:ascii="Times New Roman" w:hAnsi="Times New Roman" w:cs="Times New Roman"/>
          <w:sz w:val="31"/>
          <w:szCs w:val="31"/>
        </w:rPr>
        <w:t>3</w:t>
      </w:r>
      <w:r>
        <w:rPr>
          <w:rFonts w:hint="default" w:ascii="Times New Roman" w:hAnsi="Times New Roman" w:eastAsia="仿宋_GB2312" w:cs="Times New Roman"/>
          <w:sz w:val="31"/>
          <w:szCs w:val="31"/>
        </w:rPr>
        <w:t>年的企业进行复核，不符合条件或未提交复核申请材料的企业将予以撤销。有效期内如发现虚假申报或存在违法违规行为的，一经查实，立即予以撤销。</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lang w:val="en-US" w:eastAsia="zh-CN"/>
        </w:rPr>
        <w:t xml:space="preserve">     请各镇街、园区</w:t>
      </w:r>
      <w:r>
        <w:rPr>
          <w:rFonts w:hint="default" w:ascii="Times New Roman" w:hAnsi="Times New Roman" w:eastAsia="仿宋_GB2312" w:cs="Times New Roman"/>
          <w:sz w:val="31"/>
          <w:szCs w:val="31"/>
        </w:rPr>
        <w:t>于4月</w:t>
      </w:r>
      <w:r>
        <w:rPr>
          <w:rFonts w:hint="default" w:ascii="Times New Roman" w:hAnsi="Times New Roman" w:eastAsia="仿宋_GB2312" w:cs="Times New Roman"/>
          <w:sz w:val="31"/>
          <w:szCs w:val="31"/>
          <w:lang w:val="en-US" w:eastAsia="zh-CN"/>
        </w:rPr>
        <w:t>7</w:t>
      </w:r>
      <w:r>
        <w:rPr>
          <w:rFonts w:hint="default" w:ascii="Times New Roman" w:hAnsi="Times New Roman" w:eastAsia="仿宋_GB2312" w:cs="Times New Roman"/>
          <w:sz w:val="31"/>
          <w:szCs w:val="31"/>
        </w:rPr>
        <w:t>日前，</w:t>
      </w:r>
      <w:r>
        <w:rPr>
          <w:rFonts w:hint="default" w:ascii="Times New Roman" w:hAnsi="Times New Roman" w:eastAsia="仿宋_GB2312" w:cs="Times New Roman"/>
          <w:sz w:val="31"/>
          <w:szCs w:val="31"/>
          <w:lang w:eastAsia="zh-CN"/>
        </w:rPr>
        <w:t>组织辖区</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lang w:eastAsia="zh-CN"/>
        </w:rPr>
        <w:t>专精特新</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lang w:eastAsia="zh-CN"/>
        </w:rPr>
        <w:t>企业积极申报，并将《</w:t>
      </w:r>
      <w:r>
        <w:rPr>
          <w:rFonts w:hint="default" w:ascii="Times New Roman" w:hAnsi="Times New Roman" w:eastAsia="仿宋_GB2312" w:cs="Times New Roman"/>
          <w:sz w:val="31"/>
          <w:szCs w:val="31"/>
        </w:rPr>
        <w:t>第五批专精特新“小巨人”企业推荐汇总表</w:t>
      </w:r>
      <w:r>
        <w:rPr>
          <w:rFonts w:hint="default"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附件4</w:t>
      </w:r>
      <w:r>
        <w:rPr>
          <w:rFonts w:hint="default"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第二批专精特新“小巨人”企业复核情况汇总表</w:t>
      </w:r>
      <w:r>
        <w:rPr>
          <w:rFonts w:hint="default"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附件7</w:t>
      </w:r>
      <w:r>
        <w:rPr>
          <w:rFonts w:hint="default" w:ascii="Times New Roman" w:hAnsi="Times New Roman" w:eastAsia="仿宋_GB2312" w:cs="Times New Roman"/>
          <w:sz w:val="31"/>
          <w:szCs w:val="31"/>
          <w:lang w:eastAsia="zh-CN"/>
        </w:rPr>
        <w:t>）</w:t>
      </w:r>
      <w:r>
        <w:rPr>
          <w:rFonts w:hint="eastAsia" w:ascii="Times New Roman" w:hAnsi="Times New Roman" w:eastAsia="仿宋_GB2312" w:cs="Times New Roman"/>
          <w:sz w:val="31"/>
          <w:szCs w:val="31"/>
          <w:lang w:eastAsia="zh-CN"/>
        </w:rPr>
        <w:t>，</w:t>
      </w:r>
      <w:r>
        <w:rPr>
          <w:rFonts w:hint="eastAsia" w:ascii="Times New Roman" w:hAnsi="Times New Roman" w:eastAsia="仿宋_GB2312" w:cs="Times New Roman"/>
          <w:sz w:val="31"/>
          <w:szCs w:val="31"/>
          <w:lang w:val="en-US" w:eastAsia="zh-CN"/>
        </w:rPr>
        <w:t>word电子版及盖章件</w:t>
      </w:r>
      <w:r>
        <w:rPr>
          <w:rFonts w:hint="default" w:ascii="Times New Roman" w:hAnsi="Times New Roman" w:eastAsia="仿宋_GB2312" w:cs="Times New Roman"/>
          <w:sz w:val="31"/>
          <w:szCs w:val="31"/>
          <w:lang w:eastAsia="zh-CN"/>
        </w:rPr>
        <w:t>报送区工信局。</w:t>
      </w:r>
      <w:r>
        <w:rPr>
          <w:rFonts w:hint="default" w:ascii="Times New Roman" w:hAnsi="Times New Roman" w:eastAsia="仿宋_GB2312" w:cs="Times New Roman"/>
          <w:sz w:val="31"/>
          <w:szCs w:val="31"/>
        </w:rPr>
        <w:t>逾期不再受理</w:t>
      </w:r>
      <w:r>
        <w:rPr>
          <w:rFonts w:hint="default" w:ascii="Times New Roman" w:hAnsi="Times New Roman" w:eastAsia="仿宋_GB2312" w:cs="Times New Roman"/>
          <w:sz w:val="31"/>
          <w:szCs w:val="31"/>
          <w:lang w:eastAsia="zh-CN"/>
        </w:rPr>
        <w:t>。</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eastAsia="仿宋_GB2312" w:cs="Times New Roman"/>
          <w:sz w:val="31"/>
          <w:szCs w:val="31"/>
          <w:lang w:eastAsia="zh-CN"/>
        </w:rPr>
      </w:pP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rPr>
      </w:pPr>
      <w:r>
        <w:rPr>
          <w:rFonts w:hint="default"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附件：1. 线上填报佐证材料清单（供参考）</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160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2. 纸质佐证材料清单（供参考）</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160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3. 第五批专精特新“小巨人”企业申请书</w:t>
      </w:r>
      <w:r>
        <w:rPr>
          <w:rFonts w:hint="default" w:ascii="Times New Roman" w:hAnsi="Times New Roman" w:cs="Times New Roman"/>
          <w:sz w:val="31"/>
          <w:szCs w:val="31"/>
        </w:rPr>
        <w:t>  </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ind w:left="0" w:firstLine="1605"/>
        <w:jc w:val="both"/>
        <w:textAlignment w:val="auto"/>
        <w:rPr>
          <w:rFonts w:hint="default" w:ascii="Times New Roman" w:hAnsi="Times New Roman" w:cs="Times New Roman"/>
        </w:rPr>
      </w:pPr>
      <w:r>
        <w:rPr>
          <w:rFonts w:hint="default" w:ascii="Times New Roman" w:hAnsi="Times New Roman" w:eastAsia="仿宋_GB2312" w:cs="Times New Roman"/>
          <w:sz w:val="31"/>
          <w:szCs w:val="31"/>
        </w:rPr>
        <w:t>4. 第五批专精特新“小巨人”企业推荐汇总表</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spacing w:val="-20"/>
        </w:rPr>
      </w:pPr>
      <w:r>
        <w:rPr>
          <w:rFonts w:hint="default"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 xml:space="preserve">5. </w:t>
      </w:r>
      <w:r>
        <w:rPr>
          <w:rFonts w:hint="default" w:ascii="Times New Roman" w:hAnsi="Times New Roman" w:eastAsia="仿宋_GB2312" w:cs="Times New Roman"/>
          <w:spacing w:val="-20"/>
          <w:sz w:val="31"/>
          <w:szCs w:val="31"/>
        </w:rPr>
        <w:t>第五批专精特新“小巨人”企业真实性声明承诺书（样本）</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rPr>
      </w:pPr>
      <w:r>
        <w:rPr>
          <w:rFonts w:hint="eastAsia"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6. 第二批专精特新“小巨人”企业复核申请书</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cs="Times New Roman"/>
        </w:rPr>
      </w:pPr>
      <w:r>
        <w:rPr>
          <w:rFonts w:hint="eastAsia"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7. 第二批专精特新“小巨人”企业复核情况汇总表</w:t>
      </w:r>
    </w:p>
    <w:p>
      <w:pPr>
        <w:pStyle w:val="11"/>
        <w:keepNext w:val="0"/>
        <w:keepLines w:val="0"/>
        <w:pageBreakBefore w:val="0"/>
        <w:widowControl/>
        <w:suppressLineNumbers w:val="0"/>
        <w:kinsoku/>
        <w:wordWrap/>
        <w:overflowPunct/>
        <w:topLinePunct w:val="0"/>
        <w:autoSpaceDN/>
        <w:bidi w:val="0"/>
        <w:adjustRightInd/>
        <w:snapToGrid/>
        <w:spacing w:beforeAutospacing="0" w:afterAutospacing="0" w:line="580"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 xml:space="preserve">8. </w:t>
      </w:r>
      <w:r>
        <w:rPr>
          <w:rFonts w:hint="default" w:ascii="Times New Roman" w:hAnsi="Times New Roman" w:eastAsia="仿宋_GB2312" w:cs="Times New Roman"/>
          <w:spacing w:val="-28"/>
          <w:sz w:val="31"/>
          <w:szCs w:val="31"/>
        </w:rPr>
        <w:t>第二批专精特新“小巨人”企业复核真实性声明承诺书（样本）</w:t>
      </w:r>
      <w:r>
        <w:rPr>
          <w:rFonts w:hint="default" w:ascii="Times New Roman" w:hAnsi="Times New Roman" w:cs="Times New Roman"/>
          <w:spacing w:val="-28"/>
          <w:sz w:val="31"/>
          <w:szCs w:val="31"/>
        </w:rPr>
        <w:t> </w:t>
      </w:r>
      <w:r>
        <w:rPr>
          <w:rFonts w:hint="default" w:ascii="Times New Roman" w:hAnsi="Times New Roman" w:eastAsia="仿宋_GB2312" w:cs="Times New Roman"/>
          <w:sz w:val="31"/>
          <w:szCs w:val="31"/>
          <w:lang w:val="en-US" w:eastAsia="zh-CN"/>
        </w:rPr>
        <w:t xml:space="preserve">         </w:t>
      </w:r>
      <w:r>
        <w:rPr>
          <w:rFonts w:hint="default" w:ascii="Times New Roman" w:hAnsi="Times New Roman" w:eastAsia="仿宋_GB2312" w:cs="Times New Roman"/>
          <w:sz w:val="31"/>
          <w:szCs w:val="31"/>
        </w:rPr>
        <w:t>9. 第二批专精特新“小巨人”企业复核名单</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80" w:lineRule="exact"/>
        <w:ind w:left="614" w:leftChars="0" w:hanging="614" w:hangingChars="192"/>
        <w:jc w:val="center"/>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
        </w:rPr>
        <w:t>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日</w:t>
      </w:r>
      <w:r>
        <w:rPr>
          <w:rFonts w:hint="default" w:ascii="Times New Roman" w:hAnsi="Times New Roman" w:cs="Times New Roman"/>
          <w:sz w:val="32"/>
          <w:szCs w:val="32"/>
          <w:lang w:val="en-US" w:eastAsia="zh-CN"/>
        </w:rPr>
        <w:t xml:space="preserve">                                             </w:t>
      </w:r>
    </w:p>
    <w:p>
      <w:pPr>
        <w:keepNext w:val="0"/>
        <w:keepLines w:val="0"/>
        <w:pageBreakBefore w:val="0"/>
        <w:widowControl w:val="0"/>
        <w:tabs>
          <w:tab w:val="left" w:pos="1843"/>
          <w:tab w:val="left" w:pos="2127"/>
          <w:tab w:val="left" w:pos="7236"/>
        </w:tabs>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Cs/>
          <w:kern w:val="44"/>
          <w:sz w:val="32"/>
          <w:szCs w:val="32"/>
          <w:lang w:val="en-US" w:eastAsia="zh-CN"/>
        </w:rPr>
        <w:t xml:space="preserve">   </w:t>
      </w:r>
      <w:r>
        <w:rPr>
          <w:rFonts w:hint="default" w:ascii="Times New Roman" w:hAnsi="Times New Roman" w:eastAsia="仿宋_GB2312" w:cs="Times New Roman"/>
          <w:bCs/>
          <w:kern w:val="44"/>
          <w:sz w:val="32"/>
          <w:szCs w:val="32"/>
        </w:rPr>
        <w:t>（</w:t>
      </w:r>
      <w:r>
        <w:rPr>
          <w:rFonts w:hint="default" w:ascii="Times New Roman" w:hAnsi="Times New Roman" w:eastAsia="仿宋_GB2312" w:cs="Times New Roman"/>
          <w:bCs/>
          <w:kern w:val="44"/>
          <w:sz w:val="32"/>
          <w:szCs w:val="32"/>
          <w:lang w:eastAsia="zh-CN"/>
        </w:rPr>
        <w:t>联系人：谷雅静；</w:t>
      </w:r>
      <w:r>
        <w:rPr>
          <w:rFonts w:hint="default" w:ascii="Times New Roman" w:hAnsi="Times New Roman" w:eastAsia="仿宋_GB2312" w:cs="Times New Roman"/>
          <w:bCs/>
          <w:kern w:val="44"/>
          <w:sz w:val="32"/>
          <w:szCs w:val="32"/>
        </w:rPr>
        <w:t>联系电话：29527295</w:t>
      </w:r>
      <w:r>
        <w:rPr>
          <w:rFonts w:hint="default" w:ascii="Times New Roman" w:hAnsi="Times New Roman" w:eastAsia="仿宋_GB2312" w:cs="Times New Roman"/>
          <w:sz w:val="32"/>
          <w:szCs w:val="32"/>
          <w:lang w:val="en-US" w:eastAsia="zh-CN"/>
        </w:rPr>
        <w:t>）</w:t>
      </w:r>
    </w:p>
    <w:p>
      <w:pPr>
        <w:pStyle w:val="6"/>
        <w:spacing w:line="360" w:lineRule="auto"/>
        <w:rPr>
          <w:rFonts w:hint="default" w:ascii="Times New Roman" w:hAnsi="Times New Roman" w:eastAsia="仿宋_GB2312" w:cs="Times New Roman"/>
          <w:sz w:val="32"/>
          <w:szCs w:val="32"/>
        </w:rPr>
      </w:pP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站酷高端黑"/>
    <w:panose1 w:val="02010600030101010101"/>
    <w:charset w:val="86"/>
    <w:family w:val="auto"/>
    <w:pitch w:val="default"/>
    <w:sig w:usb0="00000000" w:usb1="00000000" w:usb2="00000016" w:usb3="00000000" w:csb0="0004000F" w:csb1="00000000"/>
  </w:font>
  <w:font w:name="等线 Light">
    <w:altName w:val="站酷高端黑"/>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正黑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等线">
    <w:altName w:val="MStiffHei PRC UltraBold"/>
    <w:panose1 w:val="00000000000000000000"/>
    <w:charset w:val="00"/>
    <w:family w:val="auto"/>
    <w:pitch w:val="default"/>
    <w:sig w:usb0="00000000" w:usb1="00000000" w:usb2="00000000" w:usb3="00000000" w:csb0="00000000" w:csb1="00000000"/>
  </w:font>
  <w:font w:name="MStiffHei PRC UltraBold">
    <w:panose1 w:val="00000500000000000000"/>
    <w:charset w:val="86"/>
    <w:family w:val="auto"/>
    <w:pitch w:val="default"/>
    <w:sig w:usb0="A00002BF" w:usb1="3ACF7CFA" w:usb2="00000016" w:usb3="00000000" w:csb0="00060007"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MStiffHei PRC UltraBol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79"/>
    <w:rsid w:val="00096666"/>
    <w:rsid w:val="000C06BF"/>
    <w:rsid w:val="000F4E48"/>
    <w:rsid w:val="00112627"/>
    <w:rsid w:val="00114C42"/>
    <w:rsid w:val="0014093E"/>
    <w:rsid w:val="001956DD"/>
    <w:rsid w:val="001A036C"/>
    <w:rsid w:val="001A405A"/>
    <w:rsid w:val="00247ACD"/>
    <w:rsid w:val="00294F5A"/>
    <w:rsid w:val="002B5484"/>
    <w:rsid w:val="00521D79"/>
    <w:rsid w:val="00550D1E"/>
    <w:rsid w:val="005675D6"/>
    <w:rsid w:val="00573E1E"/>
    <w:rsid w:val="0076077E"/>
    <w:rsid w:val="00895E03"/>
    <w:rsid w:val="008A5D1D"/>
    <w:rsid w:val="008E5A4C"/>
    <w:rsid w:val="009259E0"/>
    <w:rsid w:val="009A50EA"/>
    <w:rsid w:val="009B3E3D"/>
    <w:rsid w:val="009B5327"/>
    <w:rsid w:val="009C42EF"/>
    <w:rsid w:val="009C5385"/>
    <w:rsid w:val="00A745BA"/>
    <w:rsid w:val="00AB48DD"/>
    <w:rsid w:val="00AC066F"/>
    <w:rsid w:val="00AD2FAB"/>
    <w:rsid w:val="00AF4549"/>
    <w:rsid w:val="00B07F09"/>
    <w:rsid w:val="00B20104"/>
    <w:rsid w:val="00B800C9"/>
    <w:rsid w:val="00BA1FD4"/>
    <w:rsid w:val="00BB4856"/>
    <w:rsid w:val="00BB6205"/>
    <w:rsid w:val="00CF58D9"/>
    <w:rsid w:val="00D1535A"/>
    <w:rsid w:val="00D6355A"/>
    <w:rsid w:val="00DE2186"/>
    <w:rsid w:val="00DE5720"/>
    <w:rsid w:val="00DE62A3"/>
    <w:rsid w:val="00E01A5F"/>
    <w:rsid w:val="00E712F7"/>
    <w:rsid w:val="00E81237"/>
    <w:rsid w:val="00E967F7"/>
    <w:rsid w:val="00EC4B71"/>
    <w:rsid w:val="00F031EA"/>
    <w:rsid w:val="00F23A24"/>
    <w:rsid w:val="00F7431C"/>
    <w:rsid w:val="00F971E7"/>
    <w:rsid w:val="00FE3E50"/>
    <w:rsid w:val="0104512D"/>
    <w:rsid w:val="01116A1D"/>
    <w:rsid w:val="02370852"/>
    <w:rsid w:val="02CF5259"/>
    <w:rsid w:val="02D11B87"/>
    <w:rsid w:val="02D7215F"/>
    <w:rsid w:val="02FB5063"/>
    <w:rsid w:val="03687BBD"/>
    <w:rsid w:val="038E382A"/>
    <w:rsid w:val="03EF4005"/>
    <w:rsid w:val="04184994"/>
    <w:rsid w:val="04952468"/>
    <w:rsid w:val="04A73F9A"/>
    <w:rsid w:val="04AC3377"/>
    <w:rsid w:val="04D41E1C"/>
    <w:rsid w:val="05D609BD"/>
    <w:rsid w:val="068073AE"/>
    <w:rsid w:val="06837750"/>
    <w:rsid w:val="06CA47CC"/>
    <w:rsid w:val="0799493F"/>
    <w:rsid w:val="07A01004"/>
    <w:rsid w:val="07AD7F38"/>
    <w:rsid w:val="09345D6C"/>
    <w:rsid w:val="095D6DD9"/>
    <w:rsid w:val="0A137057"/>
    <w:rsid w:val="0A8A3996"/>
    <w:rsid w:val="0A8C036F"/>
    <w:rsid w:val="0AE34520"/>
    <w:rsid w:val="0B043825"/>
    <w:rsid w:val="0B5325CC"/>
    <w:rsid w:val="0B5F3B92"/>
    <w:rsid w:val="0BC26E1F"/>
    <w:rsid w:val="0C672069"/>
    <w:rsid w:val="0C8F38F3"/>
    <w:rsid w:val="0D0013D3"/>
    <w:rsid w:val="0E696AEF"/>
    <w:rsid w:val="0F1A4A38"/>
    <w:rsid w:val="0F4459DF"/>
    <w:rsid w:val="0F477D61"/>
    <w:rsid w:val="0FB17670"/>
    <w:rsid w:val="0FEA2B1B"/>
    <w:rsid w:val="10130AF2"/>
    <w:rsid w:val="101F74DB"/>
    <w:rsid w:val="10920CC9"/>
    <w:rsid w:val="10D676A4"/>
    <w:rsid w:val="10DB7989"/>
    <w:rsid w:val="11146207"/>
    <w:rsid w:val="11364AC0"/>
    <w:rsid w:val="12753B48"/>
    <w:rsid w:val="12F87EDE"/>
    <w:rsid w:val="1365453B"/>
    <w:rsid w:val="13F12148"/>
    <w:rsid w:val="143A1910"/>
    <w:rsid w:val="14690084"/>
    <w:rsid w:val="14806CA1"/>
    <w:rsid w:val="149C0F0A"/>
    <w:rsid w:val="14B6297E"/>
    <w:rsid w:val="152A5FB5"/>
    <w:rsid w:val="15461A68"/>
    <w:rsid w:val="154A3390"/>
    <w:rsid w:val="155A2227"/>
    <w:rsid w:val="157FA298"/>
    <w:rsid w:val="15CF2A25"/>
    <w:rsid w:val="15FD2D37"/>
    <w:rsid w:val="17775B60"/>
    <w:rsid w:val="17EF4A53"/>
    <w:rsid w:val="18530EED"/>
    <w:rsid w:val="18BA5E2B"/>
    <w:rsid w:val="190A5E70"/>
    <w:rsid w:val="1A347D6F"/>
    <w:rsid w:val="1A36257A"/>
    <w:rsid w:val="1A460FD1"/>
    <w:rsid w:val="1ABD5E84"/>
    <w:rsid w:val="1B776D5D"/>
    <w:rsid w:val="1BF009AA"/>
    <w:rsid w:val="1C2154A3"/>
    <w:rsid w:val="1C77326F"/>
    <w:rsid w:val="1CC0690F"/>
    <w:rsid w:val="1DC54B08"/>
    <w:rsid w:val="1DDA18FA"/>
    <w:rsid w:val="1E3450BA"/>
    <w:rsid w:val="1E6BF9D2"/>
    <w:rsid w:val="1E717A8B"/>
    <w:rsid w:val="1EFC005F"/>
    <w:rsid w:val="1F53446E"/>
    <w:rsid w:val="1FFB46F6"/>
    <w:rsid w:val="204F48AE"/>
    <w:rsid w:val="20D035F8"/>
    <w:rsid w:val="217B303C"/>
    <w:rsid w:val="21FD151B"/>
    <w:rsid w:val="220B2859"/>
    <w:rsid w:val="22306D49"/>
    <w:rsid w:val="22692866"/>
    <w:rsid w:val="2280778A"/>
    <w:rsid w:val="22A22C61"/>
    <w:rsid w:val="23125CDE"/>
    <w:rsid w:val="23266F17"/>
    <w:rsid w:val="233869CB"/>
    <w:rsid w:val="23586A1A"/>
    <w:rsid w:val="24156F42"/>
    <w:rsid w:val="244C3DDD"/>
    <w:rsid w:val="24601CA7"/>
    <w:rsid w:val="256E6F1F"/>
    <w:rsid w:val="2594750F"/>
    <w:rsid w:val="25CC34EB"/>
    <w:rsid w:val="25F9645D"/>
    <w:rsid w:val="26AE055F"/>
    <w:rsid w:val="28222311"/>
    <w:rsid w:val="2835547A"/>
    <w:rsid w:val="28BFBEDB"/>
    <w:rsid w:val="2905163D"/>
    <w:rsid w:val="292B6192"/>
    <w:rsid w:val="29402A73"/>
    <w:rsid w:val="294555EC"/>
    <w:rsid w:val="298D2703"/>
    <w:rsid w:val="29980DC2"/>
    <w:rsid w:val="2ACA1B8E"/>
    <w:rsid w:val="2AEB7C6F"/>
    <w:rsid w:val="2B173ABF"/>
    <w:rsid w:val="2B26068C"/>
    <w:rsid w:val="2B402A1B"/>
    <w:rsid w:val="2C0B1A81"/>
    <w:rsid w:val="2C295AF7"/>
    <w:rsid w:val="2D32553E"/>
    <w:rsid w:val="2D765717"/>
    <w:rsid w:val="2D9D5405"/>
    <w:rsid w:val="2DBA596A"/>
    <w:rsid w:val="2E8F5A1B"/>
    <w:rsid w:val="2EA854C0"/>
    <w:rsid w:val="2FCC761C"/>
    <w:rsid w:val="2FF74EBF"/>
    <w:rsid w:val="30F36602"/>
    <w:rsid w:val="31877535"/>
    <w:rsid w:val="31AF22A7"/>
    <w:rsid w:val="31C162EF"/>
    <w:rsid w:val="320D61DD"/>
    <w:rsid w:val="32A06191"/>
    <w:rsid w:val="32C81595"/>
    <w:rsid w:val="32D9480E"/>
    <w:rsid w:val="32E7524F"/>
    <w:rsid w:val="335F0172"/>
    <w:rsid w:val="33C83F61"/>
    <w:rsid w:val="33FB6DFF"/>
    <w:rsid w:val="340C3BA6"/>
    <w:rsid w:val="342242B0"/>
    <w:rsid w:val="3507315E"/>
    <w:rsid w:val="35275AB6"/>
    <w:rsid w:val="358446A3"/>
    <w:rsid w:val="35BD6F04"/>
    <w:rsid w:val="35DB0754"/>
    <w:rsid w:val="36857B5B"/>
    <w:rsid w:val="36CC7B00"/>
    <w:rsid w:val="372C24E6"/>
    <w:rsid w:val="376E24FE"/>
    <w:rsid w:val="37AD6882"/>
    <w:rsid w:val="37E06AF9"/>
    <w:rsid w:val="37F3C239"/>
    <w:rsid w:val="388C7532"/>
    <w:rsid w:val="392D7C48"/>
    <w:rsid w:val="3AFBF073"/>
    <w:rsid w:val="3B9D7FAB"/>
    <w:rsid w:val="3C091EE2"/>
    <w:rsid w:val="3C9E1ED4"/>
    <w:rsid w:val="3CB14E81"/>
    <w:rsid w:val="3CDFD78B"/>
    <w:rsid w:val="3D728B33"/>
    <w:rsid w:val="3DC52F00"/>
    <w:rsid w:val="3E3D4F9C"/>
    <w:rsid w:val="3E4F5202"/>
    <w:rsid w:val="3E5D2659"/>
    <w:rsid w:val="3E6B0A27"/>
    <w:rsid w:val="3E8F8C00"/>
    <w:rsid w:val="3ECF5BFA"/>
    <w:rsid w:val="3FFD8421"/>
    <w:rsid w:val="3FFE06FA"/>
    <w:rsid w:val="40264F97"/>
    <w:rsid w:val="41460482"/>
    <w:rsid w:val="415963F7"/>
    <w:rsid w:val="42B81751"/>
    <w:rsid w:val="42CD515C"/>
    <w:rsid w:val="42D81A60"/>
    <w:rsid w:val="43043F7F"/>
    <w:rsid w:val="430C68B0"/>
    <w:rsid w:val="43F94295"/>
    <w:rsid w:val="441A2A2A"/>
    <w:rsid w:val="44327329"/>
    <w:rsid w:val="448558C6"/>
    <w:rsid w:val="448E734B"/>
    <w:rsid w:val="453B2968"/>
    <w:rsid w:val="45D53D05"/>
    <w:rsid w:val="46315841"/>
    <w:rsid w:val="47204202"/>
    <w:rsid w:val="472B4140"/>
    <w:rsid w:val="47842D25"/>
    <w:rsid w:val="47A84E5C"/>
    <w:rsid w:val="47DD2AC9"/>
    <w:rsid w:val="47E93878"/>
    <w:rsid w:val="481E137A"/>
    <w:rsid w:val="488277B9"/>
    <w:rsid w:val="488F6321"/>
    <w:rsid w:val="496E25FF"/>
    <w:rsid w:val="4A505D91"/>
    <w:rsid w:val="4AC25285"/>
    <w:rsid w:val="4AE3047C"/>
    <w:rsid w:val="4B201867"/>
    <w:rsid w:val="4C203BD4"/>
    <w:rsid w:val="4C4362AF"/>
    <w:rsid w:val="4C7E11E4"/>
    <w:rsid w:val="4CCAEF83"/>
    <w:rsid w:val="4CE162E8"/>
    <w:rsid w:val="4CFF223B"/>
    <w:rsid w:val="4DD85E60"/>
    <w:rsid w:val="4DE81DEE"/>
    <w:rsid w:val="4EA06474"/>
    <w:rsid w:val="4EA51311"/>
    <w:rsid w:val="4EE75972"/>
    <w:rsid w:val="4EFA5F90"/>
    <w:rsid w:val="4F5029F8"/>
    <w:rsid w:val="4F7671A8"/>
    <w:rsid w:val="4F852CDA"/>
    <w:rsid w:val="4FC3688E"/>
    <w:rsid w:val="510F5914"/>
    <w:rsid w:val="51863065"/>
    <w:rsid w:val="52666E29"/>
    <w:rsid w:val="52AA5B61"/>
    <w:rsid w:val="52AD1BA8"/>
    <w:rsid w:val="537E1C0E"/>
    <w:rsid w:val="54702C67"/>
    <w:rsid w:val="548E1041"/>
    <w:rsid w:val="54FD4173"/>
    <w:rsid w:val="552C65EA"/>
    <w:rsid w:val="557B2109"/>
    <w:rsid w:val="558771BA"/>
    <w:rsid w:val="559E23C1"/>
    <w:rsid w:val="55A95B29"/>
    <w:rsid w:val="55FFDE58"/>
    <w:rsid w:val="56F363D9"/>
    <w:rsid w:val="574672A8"/>
    <w:rsid w:val="576750AF"/>
    <w:rsid w:val="57E85DCA"/>
    <w:rsid w:val="58045BCD"/>
    <w:rsid w:val="580B46AF"/>
    <w:rsid w:val="582875ED"/>
    <w:rsid w:val="58907763"/>
    <w:rsid w:val="5923785E"/>
    <w:rsid w:val="59501ACA"/>
    <w:rsid w:val="59505A7B"/>
    <w:rsid w:val="59831EE4"/>
    <w:rsid w:val="59AC5366"/>
    <w:rsid w:val="59E78080"/>
    <w:rsid w:val="5B442E0F"/>
    <w:rsid w:val="5B4850EB"/>
    <w:rsid w:val="5BF41392"/>
    <w:rsid w:val="5C047323"/>
    <w:rsid w:val="5CA3481C"/>
    <w:rsid w:val="5CAF192C"/>
    <w:rsid w:val="5CFB0CD7"/>
    <w:rsid w:val="5D1141DA"/>
    <w:rsid w:val="5D243323"/>
    <w:rsid w:val="5D40059F"/>
    <w:rsid w:val="5D53460B"/>
    <w:rsid w:val="5DA16C1A"/>
    <w:rsid w:val="5DEB0FE1"/>
    <w:rsid w:val="5E7669EC"/>
    <w:rsid w:val="5EC134C9"/>
    <w:rsid w:val="5ECB7B7B"/>
    <w:rsid w:val="5EFB60F3"/>
    <w:rsid w:val="5F39456B"/>
    <w:rsid w:val="5F5F82C2"/>
    <w:rsid w:val="5F9F1036"/>
    <w:rsid w:val="5FBF1947"/>
    <w:rsid w:val="5FD96CD8"/>
    <w:rsid w:val="5FDB114C"/>
    <w:rsid w:val="5FE1DDFC"/>
    <w:rsid w:val="5FF172B1"/>
    <w:rsid w:val="60BF5027"/>
    <w:rsid w:val="60EA12AC"/>
    <w:rsid w:val="61EC59FD"/>
    <w:rsid w:val="630B155D"/>
    <w:rsid w:val="63673832"/>
    <w:rsid w:val="654D5DA4"/>
    <w:rsid w:val="65896A24"/>
    <w:rsid w:val="65C59AA9"/>
    <w:rsid w:val="65FA3209"/>
    <w:rsid w:val="66FF420F"/>
    <w:rsid w:val="67061484"/>
    <w:rsid w:val="67FF3CC9"/>
    <w:rsid w:val="68DBC605"/>
    <w:rsid w:val="696951BD"/>
    <w:rsid w:val="69FC32FA"/>
    <w:rsid w:val="6A0020BF"/>
    <w:rsid w:val="6A240ABA"/>
    <w:rsid w:val="6A712414"/>
    <w:rsid w:val="6B623D24"/>
    <w:rsid w:val="6B67375D"/>
    <w:rsid w:val="6C08004C"/>
    <w:rsid w:val="6C0A3F60"/>
    <w:rsid w:val="6C75553B"/>
    <w:rsid w:val="6CD4354C"/>
    <w:rsid w:val="6CDF86FD"/>
    <w:rsid w:val="6CE970A4"/>
    <w:rsid w:val="6D446D66"/>
    <w:rsid w:val="6D54111E"/>
    <w:rsid w:val="6D7720B2"/>
    <w:rsid w:val="6DDFE949"/>
    <w:rsid w:val="6E2D5735"/>
    <w:rsid w:val="6E345F86"/>
    <w:rsid w:val="6E564113"/>
    <w:rsid w:val="6EFF7A82"/>
    <w:rsid w:val="6F23221B"/>
    <w:rsid w:val="6F2FA946"/>
    <w:rsid w:val="6F993A1D"/>
    <w:rsid w:val="6FE63249"/>
    <w:rsid w:val="702949BC"/>
    <w:rsid w:val="703F6242"/>
    <w:rsid w:val="70BA2F91"/>
    <w:rsid w:val="714B06DE"/>
    <w:rsid w:val="715B1984"/>
    <w:rsid w:val="7167131D"/>
    <w:rsid w:val="72115722"/>
    <w:rsid w:val="72174460"/>
    <w:rsid w:val="72BE0C2D"/>
    <w:rsid w:val="730955CE"/>
    <w:rsid w:val="731738B3"/>
    <w:rsid w:val="73436D03"/>
    <w:rsid w:val="73C276A3"/>
    <w:rsid w:val="73F3C961"/>
    <w:rsid w:val="749D29F8"/>
    <w:rsid w:val="75590C2C"/>
    <w:rsid w:val="756DA614"/>
    <w:rsid w:val="7576239C"/>
    <w:rsid w:val="758E7F72"/>
    <w:rsid w:val="75B8ED33"/>
    <w:rsid w:val="75B946C5"/>
    <w:rsid w:val="75DF069E"/>
    <w:rsid w:val="75E390C0"/>
    <w:rsid w:val="75FD9F74"/>
    <w:rsid w:val="763D3BCC"/>
    <w:rsid w:val="76410C93"/>
    <w:rsid w:val="76763533"/>
    <w:rsid w:val="76A771C2"/>
    <w:rsid w:val="76EFEBF3"/>
    <w:rsid w:val="776A771B"/>
    <w:rsid w:val="77CB1F2E"/>
    <w:rsid w:val="77F8B8FE"/>
    <w:rsid w:val="77FB9964"/>
    <w:rsid w:val="780067F4"/>
    <w:rsid w:val="788C7B76"/>
    <w:rsid w:val="790F10BA"/>
    <w:rsid w:val="79291551"/>
    <w:rsid w:val="7938508C"/>
    <w:rsid w:val="795328E5"/>
    <w:rsid w:val="797BA672"/>
    <w:rsid w:val="7A0910AE"/>
    <w:rsid w:val="7AFFC6D9"/>
    <w:rsid w:val="7B6F099E"/>
    <w:rsid w:val="7B9C7519"/>
    <w:rsid w:val="7BCE5788"/>
    <w:rsid w:val="7BE69170"/>
    <w:rsid w:val="7C040B8B"/>
    <w:rsid w:val="7C2D177A"/>
    <w:rsid w:val="7C7732DD"/>
    <w:rsid w:val="7D314788"/>
    <w:rsid w:val="7D7A7453"/>
    <w:rsid w:val="7DC06D83"/>
    <w:rsid w:val="7DFBD8F8"/>
    <w:rsid w:val="7DFDA401"/>
    <w:rsid w:val="7E0C2835"/>
    <w:rsid w:val="7E2A6EB7"/>
    <w:rsid w:val="7E6F0220"/>
    <w:rsid w:val="7E8220B4"/>
    <w:rsid w:val="7E957DBA"/>
    <w:rsid w:val="7EC43380"/>
    <w:rsid w:val="7F0D54BB"/>
    <w:rsid w:val="7F5F0BF8"/>
    <w:rsid w:val="7F9D73D2"/>
    <w:rsid w:val="7FBE558C"/>
    <w:rsid w:val="7FC79D06"/>
    <w:rsid w:val="7FCF2636"/>
    <w:rsid w:val="7FCF94E3"/>
    <w:rsid w:val="7FFFD36A"/>
    <w:rsid w:val="86F7458F"/>
    <w:rsid w:val="93DF2126"/>
    <w:rsid w:val="9D774517"/>
    <w:rsid w:val="B7FF463B"/>
    <w:rsid w:val="BBB37D91"/>
    <w:rsid w:val="BCD7119C"/>
    <w:rsid w:val="BE7F0DED"/>
    <w:rsid w:val="BEDF04E6"/>
    <w:rsid w:val="BFFB5424"/>
    <w:rsid w:val="CB7E6D04"/>
    <w:rsid w:val="CBB740AF"/>
    <w:rsid w:val="CBDE6280"/>
    <w:rsid w:val="CF7B04F4"/>
    <w:rsid w:val="CFDBBA5B"/>
    <w:rsid w:val="CFE7179C"/>
    <w:rsid w:val="D1E71FAA"/>
    <w:rsid w:val="D7EBE0BA"/>
    <w:rsid w:val="DDB6CBD2"/>
    <w:rsid w:val="DF6BCCFB"/>
    <w:rsid w:val="DFB346A5"/>
    <w:rsid w:val="DFEDE675"/>
    <w:rsid w:val="DFFF6D6D"/>
    <w:rsid w:val="E93BE36C"/>
    <w:rsid w:val="EAFF4F84"/>
    <w:rsid w:val="EBEB1F8D"/>
    <w:rsid w:val="EBED25F2"/>
    <w:rsid w:val="ED4DC1ED"/>
    <w:rsid w:val="EE5E0728"/>
    <w:rsid w:val="EEAEB66E"/>
    <w:rsid w:val="EEFBCD79"/>
    <w:rsid w:val="EF5C36BE"/>
    <w:rsid w:val="EFBFB720"/>
    <w:rsid w:val="EFCD99B9"/>
    <w:rsid w:val="F1CFBD4C"/>
    <w:rsid w:val="F1EBDC25"/>
    <w:rsid w:val="F2FF4426"/>
    <w:rsid w:val="F3FF7B02"/>
    <w:rsid w:val="F6EEC78F"/>
    <w:rsid w:val="F7750BE7"/>
    <w:rsid w:val="F7DE1991"/>
    <w:rsid w:val="F7F77448"/>
    <w:rsid w:val="F7F7BA85"/>
    <w:rsid w:val="F7FE2225"/>
    <w:rsid w:val="F7FE92CF"/>
    <w:rsid w:val="F90FA734"/>
    <w:rsid w:val="FB39E1F7"/>
    <w:rsid w:val="FB3BE7AC"/>
    <w:rsid w:val="FB9FE230"/>
    <w:rsid w:val="FCAFF230"/>
    <w:rsid w:val="FCD25CD2"/>
    <w:rsid w:val="FDD3C1DF"/>
    <w:rsid w:val="FDFF6231"/>
    <w:rsid w:val="FDFF9077"/>
    <w:rsid w:val="FE9F8A60"/>
    <w:rsid w:val="FEF74B5A"/>
    <w:rsid w:val="FEFBA256"/>
    <w:rsid w:val="FF9B77F4"/>
    <w:rsid w:val="FFB7DE7A"/>
    <w:rsid w:val="FFC79950"/>
    <w:rsid w:val="FFCB8631"/>
    <w:rsid w:val="FFFD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rPr>
      <w:b/>
    </w:rPr>
  </w:style>
  <w:style w:type="paragraph" w:styleId="6">
    <w:name w:val="Body Text"/>
    <w:basedOn w:val="1"/>
    <w:next w:val="1"/>
    <w:link w:val="19"/>
    <w:unhideWhenUsed/>
    <w:qFormat/>
    <w:uiPriority w:val="99"/>
    <w:rPr>
      <w:rFonts w:ascii="Calibri" w:hAnsi="Calibri" w:eastAsia="宋体" w:cs="Times New Roman"/>
      <w:sz w:val="30"/>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批注框文本 字符"/>
    <w:basedOn w:val="15"/>
    <w:link w:val="7"/>
    <w:semiHidden/>
    <w:qFormat/>
    <w:uiPriority w:val="99"/>
    <w:rPr>
      <w:sz w:val="18"/>
      <w:szCs w:val="18"/>
    </w:rPr>
  </w:style>
  <w:style w:type="character" w:customStyle="1" w:styleId="19">
    <w:name w:val="正文文本 字符"/>
    <w:basedOn w:val="15"/>
    <w:link w:val="6"/>
    <w:qFormat/>
    <w:uiPriority w:val="99"/>
    <w:rPr>
      <w:rFonts w:ascii="Calibri" w:hAnsi="Calibri" w:eastAsia="宋体" w:cs="Times New Roman"/>
      <w:sz w:val="30"/>
      <w:szCs w:val="24"/>
    </w:rPr>
  </w:style>
  <w:style w:type="character" w:customStyle="1" w:styleId="20">
    <w:name w:val="标题 3 字符"/>
    <w:basedOn w:val="15"/>
    <w:link w:val="5"/>
    <w:qFormat/>
    <w:uiPriority w:val="9"/>
    <w:rPr>
      <w:b/>
      <w:bCs/>
      <w:sz w:val="32"/>
      <w:szCs w:val="32"/>
    </w:rPr>
  </w:style>
  <w:style w:type="character" w:customStyle="1" w:styleId="21">
    <w:name w:val="页脚 字符"/>
    <w:basedOn w:val="15"/>
    <w:link w:val="8"/>
    <w:qFormat/>
    <w:uiPriority w:val="0"/>
    <w:rPr>
      <w:sz w:val="18"/>
      <w:szCs w:val="18"/>
    </w:rPr>
  </w:style>
  <w:style w:type="character" w:customStyle="1" w:styleId="22">
    <w:name w:val="标题 1 字符"/>
    <w:basedOn w:val="15"/>
    <w:link w:val="3"/>
    <w:qFormat/>
    <w:uiPriority w:val="9"/>
    <w:rPr>
      <w:b/>
      <w:bCs/>
      <w:kern w:val="44"/>
      <w:sz w:val="44"/>
      <w:szCs w:val="44"/>
    </w:rPr>
  </w:style>
  <w:style w:type="character" w:customStyle="1" w:styleId="23">
    <w:name w:val="标题 2 字符"/>
    <w:basedOn w:val="15"/>
    <w:link w:val="4"/>
    <w:qFormat/>
    <w:uiPriority w:val="9"/>
    <w:rPr>
      <w:rFonts w:asciiTheme="majorHAnsi" w:hAnsiTheme="majorHAnsi" w:eastAsiaTheme="majorEastAsia" w:cstheme="majorBidi"/>
      <w:b/>
      <w:bCs/>
      <w:sz w:val="32"/>
      <w:szCs w:val="32"/>
    </w:rPr>
  </w:style>
  <w:style w:type="paragraph" w:customStyle="1" w:styleId="24">
    <w:name w:val="列表段落2"/>
    <w:basedOn w:val="1"/>
    <w:unhideWhenUsed/>
    <w:qFormat/>
    <w:uiPriority w:val="34"/>
    <w:pPr>
      <w:ind w:firstLine="420" w:firstLineChars="200"/>
    </w:pPr>
    <w:rPr>
      <w:rFonts w:eastAsia="宋体"/>
    </w:rPr>
  </w:style>
  <w:style w:type="paragraph" w:customStyle="1" w:styleId="25">
    <w:name w:val="msolistparagraph"/>
    <w:basedOn w:val="1"/>
    <w:qFormat/>
    <w:uiPriority w:val="0"/>
    <w:pPr>
      <w:ind w:firstLine="420" w:firstLineChars="200"/>
    </w:pPr>
    <w:rPr>
      <w:rFonts w:ascii="Calibri" w:hAnsi="Calibri" w:eastAsia="宋体" w:cs="Times New Roman"/>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580</Words>
  <Characters>3306</Characters>
  <Lines>27</Lines>
  <Paragraphs>7</Paragraphs>
  <TotalTime>1</TotalTime>
  <ScaleCrop>false</ScaleCrop>
  <LinksUpToDate>false</LinksUpToDate>
  <CharactersWithSpaces>3879</CharactersWithSpaces>
  <Application>WPS Office_11.8.2.10251_F1E327BC-269C-435d-A152-05C5408002CA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2021-09-05T01:24:00Z</dcterms:created>
  <dc:creator>si zhiqiang</dc:creator>
  <cp:lastModifiedBy>kylin</cp:lastModifiedBy>
  <cp:lastPrinted>2023-03-01T01:21:00Z</cp:lastPrinted>
  <dcterms:modified xsi:type="dcterms:W3CDTF">2023-03-01T10:42:47Z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