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744"/>
        <w:spacing w:before="342" w:line="224" w:lineRule="auto"/>
        <w:rPr>
          <w:rFonts w:ascii="KaiTi" w:hAnsi="KaiTi" w:eastAsia="KaiTi" w:cs="KaiTi"/>
          <w:sz w:val="165"/>
          <w:szCs w:val="165"/>
        </w:rPr>
      </w:pPr>
      <w:r>
        <w:rPr>
          <w:rFonts w:ascii="KaiTi" w:hAnsi="KaiTi" w:eastAsia="KaiTi" w:cs="KaiTi"/>
          <w:sz w:val="165"/>
          <w:szCs w:val="165"/>
          <w:color w:val="FF0008"/>
          <w14:textOutline w14:w="30087" w14:cap="flat" w14:cmpd="sng">
            <w14:solidFill>
              <w14:srgbClr w14:val="FF0008"/>
            </w14:solidFill>
            <w14:prstDash w14:val="solid"/>
            <w14:miter w14:lim="10"/>
          </w14:textOutline>
          <w:spacing w:val="-89"/>
        </w:rPr>
        <w:t>天</w:t>
      </w:r>
      <w:r>
        <w:rPr>
          <w:rFonts w:ascii="KaiTi" w:hAnsi="KaiTi" w:eastAsia="KaiTi" w:cs="KaiTi"/>
          <w:sz w:val="165"/>
          <w:szCs w:val="165"/>
          <w:color w:val="FF0008"/>
          <w:spacing w:val="91"/>
        </w:rPr>
        <w:t> </w:t>
      </w:r>
      <w:r>
        <w:rPr>
          <w:rFonts w:ascii="KaiTi" w:hAnsi="KaiTi" w:eastAsia="KaiTi" w:cs="KaiTi"/>
          <w:sz w:val="165"/>
          <w:szCs w:val="165"/>
          <w:color w:val="FF0008"/>
          <w14:textOutline w14:w="30087" w14:cap="flat" w14:cmpd="sng">
            <w14:solidFill>
              <w14:srgbClr w14:val="FF0008"/>
            </w14:solidFill>
            <w14:prstDash w14:val="solid"/>
            <w14:miter w14:lim="10"/>
          </w14:textOutline>
          <w:spacing w:val="-89"/>
        </w:rPr>
        <w:t>津</w:t>
      </w:r>
      <w:r>
        <w:rPr>
          <w:rFonts w:ascii="KaiTi" w:hAnsi="KaiTi" w:eastAsia="KaiTi" w:cs="KaiTi"/>
          <w:sz w:val="165"/>
          <w:szCs w:val="165"/>
          <w:color w:val="FF0008"/>
          <w:spacing w:val="65"/>
        </w:rPr>
        <w:t> </w:t>
      </w:r>
      <w:r>
        <w:rPr>
          <w:rFonts w:ascii="KaiTi" w:hAnsi="KaiTi" w:eastAsia="KaiTi" w:cs="KaiTi"/>
          <w:sz w:val="165"/>
          <w:szCs w:val="165"/>
          <w:color w:val="FF0008"/>
          <w14:textOutline w14:w="30087" w14:cap="flat" w14:cmpd="sng">
            <w14:solidFill>
              <w14:srgbClr w14:val="FF0008"/>
            </w14:solidFill>
            <w14:prstDash w14:val="solid"/>
            <w14:miter w14:lim="10"/>
          </w14:textOutline>
          <w:spacing w:val="-89"/>
        </w:rPr>
        <w:t>市</w:t>
      </w:r>
      <w:r>
        <w:rPr>
          <w:rFonts w:ascii="KaiTi" w:hAnsi="KaiTi" w:eastAsia="KaiTi" w:cs="KaiTi"/>
          <w:sz w:val="165"/>
          <w:szCs w:val="165"/>
          <w:color w:val="FF0008"/>
          <w:spacing w:val="117"/>
        </w:rPr>
        <w:t> </w:t>
      </w:r>
      <w:r>
        <w:rPr>
          <w:rFonts w:ascii="KaiTi" w:hAnsi="KaiTi" w:eastAsia="KaiTi" w:cs="KaiTi"/>
          <w:sz w:val="165"/>
          <w:szCs w:val="165"/>
          <w:color w:val="FF0008"/>
          <w14:textOutline w14:w="30087" w14:cap="flat" w14:cmpd="sng">
            <w14:solidFill>
              <w14:srgbClr w14:val="FF0008"/>
            </w14:solidFill>
            <w14:prstDash w14:val="solid"/>
            <w14:miter w14:lim="10"/>
          </w14:textOutline>
          <w:spacing w:val="-89"/>
        </w:rPr>
        <w:t>商</w:t>
      </w:r>
      <w:r>
        <w:rPr>
          <w:rFonts w:ascii="KaiTi" w:hAnsi="KaiTi" w:eastAsia="KaiTi" w:cs="KaiTi"/>
          <w:sz w:val="165"/>
          <w:szCs w:val="165"/>
          <w:color w:val="FF0008"/>
          <w:spacing w:val="119"/>
        </w:rPr>
        <w:t>  </w:t>
      </w:r>
      <w:r>
        <w:rPr>
          <w:rFonts w:ascii="KaiTi" w:hAnsi="KaiTi" w:eastAsia="KaiTi" w:cs="KaiTi"/>
          <w:sz w:val="165"/>
          <w:szCs w:val="165"/>
          <w:color w:val="FF0008"/>
          <w14:textOutline w14:w="30087" w14:cap="flat" w14:cmpd="sng">
            <w14:solidFill>
              <w14:srgbClr w14:val="FF0008"/>
            </w14:solidFill>
            <w14:prstDash w14:val="solid"/>
            <w14:miter w14:lim="10"/>
          </w14:textOutline>
          <w:spacing w:val="-89"/>
        </w:rPr>
        <w:t>务</w:t>
      </w:r>
      <w:r>
        <w:rPr>
          <w:rFonts w:ascii="KaiTi" w:hAnsi="KaiTi" w:eastAsia="KaiTi" w:cs="KaiTi"/>
          <w:sz w:val="165"/>
          <w:szCs w:val="165"/>
          <w:color w:val="FF0008"/>
          <w:spacing w:val="69"/>
        </w:rPr>
        <w:t>  </w:t>
      </w:r>
      <w:r>
        <w:rPr>
          <w:rFonts w:ascii="KaiTi" w:hAnsi="KaiTi" w:eastAsia="KaiTi" w:cs="KaiTi"/>
          <w:sz w:val="165"/>
          <w:szCs w:val="165"/>
          <w:color w:val="FF0008"/>
          <w14:textOutline w14:w="30087" w14:cap="flat" w14:cmpd="sng">
            <w14:solidFill>
              <w14:srgbClr w14:val="FF0008"/>
            </w14:solidFill>
            <w14:prstDash w14:val="solid"/>
            <w14:miter w14:lim="10"/>
          </w14:textOutline>
          <w:spacing w:val="-89"/>
        </w:rPr>
        <w:t>局</w:t>
      </w:r>
    </w:p>
    <w:p>
      <w:pPr>
        <w:spacing w:before="25" w:line="69" w:lineRule="exact"/>
        <w:textAlignment w:val="center"/>
        <w:rPr/>
      </w:pPr>
      <w:r>
        <w:drawing>
          <wp:inline distT="0" distB="0" distL="0" distR="0">
            <wp:extent cx="11788423" cy="43863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88423" cy="4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6" w:lineRule="auto"/>
        <w:rPr>
          <w:rFonts w:ascii="Arial"/>
          <w:sz w:val="21"/>
        </w:rPr>
      </w:pPr>
      <w:r/>
    </w:p>
    <w:p>
      <w:pPr>
        <w:ind w:firstLine="3435"/>
        <w:spacing w:before="309" w:line="221" w:lineRule="auto"/>
        <w:rPr>
          <w:rFonts w:ascii="SimSun" w:hAnsi="SimSun" w:eastAsia="SimSun" w:cs="SimSun"/>
          <w:sz w:val="95"/>
          <w:szCs w:val="95"/>
        </w:rPr>
      </w:pPr>
      <w:r>
        <w:rPr>
          <w:rFonts w:ascii="SimSun" w:hAnsi="SimSun" w:eastAsia="SimSun" w:cs="SimSun"/>
          <w:sz w:val="95"/>
          <w:szCs w:val="95"/>
          <w14:textOutline w14:w="17381" w14:cap="flat" w14:cmpd="sng">
            <w14:solidFill>
              <w14:srgbClr w14:val="000000"/>
            </w14:solidFill>
            <w14:prstDash w14:val="solid"/>
            <w14:miter w14:lim="10"/>
          </w14:textOutline>
          <w:spacing w:val="-94"/>
          <w:w w:val="99"/>
        </w:rPr>
        <w:t>关于梳理企业合作需求的通知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firstLine="1325"/>
        <w:spacing w:before="214" w:line="223" w:lineRule="auto"/>
        <w:rPr>
          <w:rFonts w:ascii="FangSong" w:hAnsi="FangSong" w:eastAsia="FangSong" w:cs="FangSong"/>
          <w:sz w:val="66"/>
          <w:szCs w:val="66"/>
        </w:rPr>
      </w:pPr>
      <w:r>
        <w:rPr>
          <w:rFonts w:ascii="FangSong" w:hAnsi="FangSong" w:eastAsia="FangSong" w:cs="FangSong"/>
          <w:sz w:val="66"/>
          <w:szCs w:val="66"/>
          <w:spacing w:val="-32"/>
          <w:w w:val="97"/>
        </w:rPr>
        <w:t>各有关园区:</w:t>
      </w:r>
    </w:p>
    <w:p>
      <w:pPr>
        <w:ind w:left="1325" w:right="2163" w:firstLine="1279"/>
        <w:spacing w:before="394" w:line="319" w:lineRule="auto"/>
        <w:rPr>
          <w:rFonts w:ascii="FangSong" w:hAnsi="FangSong" w:eastAsia="FangSong" w:cs="FangSong"/>
          <w:sz w:val="66"/>
          <w:szCs w:val="66"/>
        </w:rPr>
      </w:pPr>
      <w:r>
        <w:rPr>
          <w:rFonts w:ascii="FangSong" w:hAnsi="FangSong" w:eastAsia="FangSong" w:cs="FangSong"/>
          <w:sz w:val="66"/>
          <w:szCs w:val="66"/>
          <w:spacing w:val="-32"/>
          <w:w w:val="97"/>
        </w:rPr>
        <w:t>为深入贯彻落实京津冀协同发展战略,加强与北京高</w:t>
      </w:r>
      <w:r>
        <w:rPr>
          <w:rFonts w:ascii="FangSong" w:hAnsi="FangSong" w:eastAsia="FangSong" w:cs="FangSong"/>
          <w:sz w:val="66"/>
          <w:szCs w:val="66"/>
          <w:spacing w:val="128"/>
        </w:rPr>
        <w:t> </w:t>
      </w:r>
      <w:r>
        <w:rPr>
          <w:rFonts w:ascii="FangSong" w:hAnsi="FangSong" w:eastAsia="FangSong" w:cs="FangSong"/>
          <w:sz w:val="66"/>
          <w:szCs w:val="66"/>
          <w:spacing w:val="-32"/>
          <w:w w:val="97"/>
        </w:rPr>
        <w:t>新技术产业领域的合作交流,通过技术合作、产业创新促</w:t>
      </w:r>
      <w:r>
        <w:rPr>
          <w:rFonts w:ascii="FangSong" w:hAnsi="FangSong" w:eastAsia="FangSong" w:cs="FangSong"/>
          <w:sz w:val="66"/>
          <w:szCs w:val="66"/>
          <w:spacing w:val="36"/>
        </w:rPr>
        <w:t> </w:t>
      </w:r>
      <w:r>
        <w:rPr>
          <w:rFonts w:ascii="FangSong" w:hAnsi="FangSong" w:eastAsia="FangSong" w:cs="FangSong"/>
          <w:sz w:val="66"/>
          <w:szCs w:val="66"/>
          <w:spacing w:val="-33"/>
          <w:w w:val="99"/>
        </w:rPr>
        <w:t>进招商引资,吸引更多北京优质资源来津,市商务局拟组</w:t>
      </w:r>
      <w:r>
        <w:rPr>
          <w:rFonts w:ascii="FangSong" w:hAnsi="FangSong" w:eastAsia="FangSong" w:cs="FangSong"/>
          <w:sz w:val="66"/>
          <w:szCs w:val="66"/>
          <w:spacing w:val="148"/>
        </w:rPr>
        <w:t> </w:t>
      </w:r>
      <w:r>
        <w:rPr>
          <w:rFonts w:ascii="FangSong" w:hAnsi="FangSong" w:eastAsia="FangSong" w:cs="FangSong"/>
          <w:sz w:val="66"/>
          <w:szCs w:val="66"/>
          <w:spacing w:val="-60"/>
        </w:rPr>
        <w:t>织部分北京高新技术企业来津洽谈交流。现将《北京高新</w:t>
      </w:r>
      <w:r>
        <w:rPr>
          <w:rFonts w:ascii="FangSong" w:hAnsi="FangSong" w:eastAsia="FangSong" w:cs="FangSong"/>
          <w:sz w:val="66"/>
          <w:szCs w:val="66"/>
          <w:spacing w:val="7"/>
        </w:rPr>
        <w:t> </w:t>
      </w:r>
      <w:r>
        <w:rPr>
          <w:rFonts w:ascii="FangSong" w:hAnsi="FangSong" w:eastAsia="FangSong" w:cs="FangSong"/>
          <w:sz w:val="66"/>
          <w:szCs w:val="66"/>
          <w:spacing w:val="-32"/>
          <w:w w:val="97"/>
        </w:rPr>
        <w:t>技术企业优势技术服务清单》转发你单位,请认真组织研</w:t>
      </w:r>
      <w:r>
        <w:rPr>
          <w:rFonts w:ascii="FangSong" w:hAnsi="FangSong" w:eastAsia="FangSong" w:cs="FangSong"/>
          <w:sz w:val="66"/>
          <w:szCs w:val="66"/>
          <w:spacing w:val="146"/>
        </w:rPr>
        <w:t> </w:t>
      </w:r>
      <w:r>
        <w:rPr>
          <w:rFonts w:ascii="FangSong" w:hAnsi="FangSong" w:eastAsia="FangSong" w:cs="FangSong"/>
          <w:sz w:val="66"/>
          <w:szCs w:val="66"/>
          <w:spacing w:val="8"/>
        </w:rPr>
        <w:t>究,梳理本区域内有合作意向和需求的企业,并于6月</w:t>
      </w:r>
      <w:r>
        <w:rPr>
          <w:rFonts w:ascii="FangSong" w:hAnsi="FangSong" w:eastAsia="FangSong" w:cs="FangSong"/>
          <w:sz w:val="66"/>
          <w:szCs w:val="66"/>
          <w:spacing w:val="7"/>
        </w:rPr>
        <w:t> </w:t>
      </w:r>
      <w:r>
        <w:rPr>
          <w:rFonts w:ascii="FangSong" w:hAnsi="FangSong" w:eastAsia="FangSong" w:cs="FangSong"/>
          <w:sz w:val="66"/>
          <w:szCs w:val="66"/>
          <w:spacing w:val="-18"/>
        </w:rPr>
        <w:t>29日(周三)前反馈《对接合作意向表》.市商务局梳理</w:t>
      </w:r>
      <w:r>
        <w:rPr>
          <w:rFonts w:ascii="FangSong" w:hAnsi="FangSong" w:eastAsia="FangSong" w:cs="FangSong"/>
          <w:sz w:val="66"/>
          <w:szCs w:val="66"/>
          <w:spacing w:val="4"/>
        </w:rPr>
        <w:t> </w:t>
      </w:r>
      <w:r>
        <w:rPr>
          <w:rFonts w:ascii="FangSong" w:hAnsi="FangSong" w:eastAsia="FangSong" w:cs="FangSong"/>
          <w:sz w:val="66"/>
          <w:szCs w:val="66"/>
          <w:spacing w:val="-33"/>
          <w:w w:val="99"/>
        </w:rPr>
        <w:t>汇总后,将定向邀请北京有关企业来津,并组织洽谈交流</w:t>
      </w:r>
      <w:r>
        <w:rPr>
          <w:rFonts w:ascii="FangSong" w:hAnsi="FangSong" w:eastAsia="FangSong" w:cs="FangSong"/>
          <w:sz w:val="66"/>
          <w:szCs w:val="66"/>
          <w:spacing w:val="88"/>
        </w:rPr>
        <w:t> </w:t>
      </w:r>
      <w:r>
        <w:rPr>
          <w:rFonts w:ascii="FangSong" w:hAnsi="FangSong" w:eastAsia="FangSong" w:cs="FangSong"/>
          <w:sz w:val="66"/>
          <w:szCs w:val="66"/>
          <w:spacing w:val="-66"/>
          <w:w w:val="99"/>
        </w:rPr>
        <w:t>活动。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firstLine="2558"/>
        <w:spacing w:before="215" w:line="222" w:lineRule="auto"/>
        <w:rPr>
          <w:rFonts w:ascii="FangSong" w:hAnsi="FangSong" w:eastAsia="FangSong" w:cs="FangSong"/>
          <w:sz w:val="66"/>
          <w:szCs w:val="66"/>
        </w:rPr>
      </w:pPr>
      <w:r>
        <w:rPr>
          <w:rFonts w:ascii="FangSong" w:hAnsi="FangSong" w:eastAsia="FangSong" w:cs="FangSong"/>
          <w:sz w:val="66"/>
          <w:szCs w:val="66"/>
          <w:spacing w:val="-29"/>
          <w:w w:val="90"/>
        </w:rPr>
        <w:t>附件:</w:t>
      </w:r>
      <w:r>
        <w:rPr>
          <w:rFonts w:ascii="FangSong" w:hAnsi="FangSong" w:eastAsia="FangSong" w:cs="FangSong"/>
          <w:sz w:val="66"/>
          <w:szCs w:val="66"/>
          <w:spacing w:val="166"/>
        </w:rPr>
        <w:t> </w:t>
      </w:r>
      <w:r>
        <w:rPr>
          <w:rFonts w:ascii="FangSong" w:hAnsi="FangSong" w:eastAsia="FangSong" w:cs="FangSong"/>
          <w:sz w:val="66"/>
          <w:szCs w:val="66"/>
          <w:spacing w:val="-29"/>
          <w:w w:val="90"/>
        </w:rPr>
        <w:t>1.北京市高新技术企业优势领域技术服务清单</w:t>
      </w:r>
    </w:p>
    <w:p>
      <w:pPr>
        <w:ind w:firstLine="4358"/>
        <w:spacing w:before="328" w:line="221" w:lineRule="auto"/>
        <w:rPr>
          <w:rFonts w:ascii="FangSong" w:hAnsi="FangSong" w:eastAsia="FangSong" w:cs="FangSong"/>
          <w:sz w:val="66"/>
          <w:szCs w:val="66"/>
        </w:rPr>
      </w:pPr>
      <w:r>
        <w:rPr>
          <w:rFonts w:ascii="FangSong" w:hAnsi="FangSong" w:eastAsia="FangSong" w:cs="FangSong"/>
          <w:sz w:val="66"/>
          <w:szCs w:val="66"/>
          <w:spacing w:val="-31"/>
          <w:w w:val="96"/>
        </w:rPr>
        <w:t>2.对接合作意向表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9277"/>
        <w:spacing w:before="215" w:line="223" w:lineRule="auto"/>
        <w:rPr>
          <w:rFonts w:ascii="FangSong" w:hAnsi="FangSong" w:eastAsia="FangSong" w:cs="FangSong"/>
          <w:sz w:val="66"/>
          <w:szCs w:val="66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6092930</wp:posOffset>
            </wp:positionH>
            <wp:positionV relativeFrom="paragraph">
              <wp:posOffset>-2030919</wp:posOffset>
            </wp:positionV>
            <wp:extent cx="2942764" cy="288997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42764" cy="2889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66"/>
          <w:szCs w:val="66"/>
          <w:spacing w:val="34"/>
          <w:w w:val="101"/>
        </w:rPr>
        <w:t>2022年6月23日</w:t>
      </w:r>
    </w:p>
    <w:p>
      <w:pPr>
        <w:ind w:firstLine="2775"/>
        <w:spacing w:before="201" w:line="223" w:lineRule="auto"/>
        <w:rPr>
          <w:rFonts w:ascii="FangSong" w:hAnsi="FangSong" w:eastAsia="FangSong" w:cs="FangSong"/>
          <w:sz w:val="66"/>
          <w:szCs w:val="66"/>
        </w:rPr>
      </w:pPr>
      <w:r>
        <w:rPr>
          <w:rFonts w:ascii="FangSong" w:hAnsi="FangSong" w:eastAsia="FangSong" w:cs="FangSong"/>
          <w:sz w:val="66"/>
          <w:szCs w:val="66"/>
          <w:spacing w:val="-31"/>
          <w:w w:val="95"/>
        </w:rPr>
        <w:t>(联系人:</w:t>
      </w:r>
      <w:r>
        <w:rPr>
          <w:rFonts w:ascii="FangSong" w:hAnsi="FangSong" w:eastAsia="FangSong" w:cs="FangSong"/>
          <w:sz w:val="66"/>
          <w:szCs w:val="66"/>
          <w:spacing w:val="283"/>
        </w:rPr>
        <w:t> </w:t>
      </w:r>
      <w:r>
        <w:rPr>
          <w:rFonts w:ascii="FangSong" w:hAnsi="FangSong" w:eastAsia="FangSong" w:cs="FangSong"/>
          <w:sz w:val="66"/>
          <w:szCs w:val="66"/>
          <w:spacing w:val="-31"/>
          <w:w w:val="95"/>
        </w:rPr>
        <w:t>市商务局外资王同哲</w:t>
      </w:r>
      <w:r>
        <w:rPr>
          <w:rFonts w:ascii="FangSong" w:hAnsi="FangSong" w:eastAsia="FangSong" w:cs="FangSong"/>
          <w:sz w:val="66"/>
          <w:szCs w:val="66"/>
          <w:spacing w:val="35"/>
        </w:rPr>
        <w:t>  </w:t>
      </w:r>
      <w:r>
        <w:rPr>
          <w:rFonts w:ascii="FangSong" w:hAnsi="FangSong" w:eastAsia="FangSong" w:cs="FangSong"/>
          <w:sz w:val="66"/>
          <w:szCs w:val="66"/>
          <w:spacing w:val="-31"/>
          <w:w w:val="95"/>
        </w:rPr>
        <w:t>电话:</w:t>
      </w:r>
      <w:r>
        <w:rPr>
          <w:rFonts w:ascii="FangSong" w:hAnsi="FangSong" w:eastAsia="FangSong" w:cs="FangSong"/>
          <w:sz w:val="66"/>
          <w:szCs w:val="66"/>
          <w:spacing w:val="121"/>
        </w:rPr>
        <w:t> </w:t>
      </w:r>
      <w:r>
        <w:rPr>
          <w:rFonts w:ascii="FangSong" w:hAnsi="FangSong" w:eastAsia="FangSong" w:cs="FangSong"/>
          <w:sz w:val="66"/>
          <w:szCs w:val="66"/>
          <w:spacing w:val="-31"/>
          <w:w w:val="95"/>
        </w:rPr>
        <w:t>58665761;</w:t>
      </w:r>
    </w:p>
    <w:p>
      <w:pPr>
        <w:ind w:firstLine="5619"/>
        <w:spacing w:before="11" w:line="891" w:lineRule="exact"/>
        <w:rPr>
          <w:rFonts w:ascii="Times New Roman" w:hAnsi="Times New Roman" w:eastAsia="Times New Roman" w:cs="Times New Roman"/>
          <w:sz w:val="66"/>
          <w:szCs w:val="66"/>
        </w:rPr>
      </w:pPr>
      <w:r>
        <w:rPr>
          <w:rFonts w:ascii="FangSong" w:hAnsi="FangSong" w:eastAsia="FangSong" w:cs="FangSong"/>
          <w:sz w:val="66"/>
          <w:szCs w:val="66"/>
          <w:spacing w:val="-23"/>
          <w:position w:val="7"/>
        </w:rPr>
        <w:t>邮箱:</w:t>
      </w:r>
      <w:r>
        <w:rPr>
          <w:rFonts w:ascii="FangSong" w:hAnsi="FangSong" w:eastAsia="FangSong" w:cs="FangSong"/>
          <w:sz w:val="66"/>
          <w:szCs w:val="66"/>
          <w:spacing w:val="151"/>
          <w:position w:val="7"/>
        </w:rPr>
        <w:t> </w:t>
      </w:r>
      <w:r>
        <w:rPr>
          <w:rFonts w:ascii="Times New Roman" w:hAnsi="Times New Roman" w:eastAsia="Times New Roman" w:cs="Times New Roman"/>
          <w:sz w:val="66"/>
          <w:szCs w:val="66"/>
          <w:spacing w:val="-23"/>
          <w:position w:val="7"/>
        </w:rPr>
        <w:t>wangtongzhe@t.gov.cn)</w:t>
      </w:r>
    </w:p>
    <w:sectPr>
      <w:pgSz w:w="22394" w:h="31680"/>
      <w:pgMar w:top="2641" w:right="1960" w:bottom="0" w:left="1868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62b935b0b7aa140015f3b553</cp:keywords>
  <dcterms:created xsi:type="dcterms:W3CDTF">2022-06-27T12:44:54Z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2022-06-27T12:44:54</vt:filetime>
  </op:property>
</op:Properties>
</file>